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29E32D">
      <w:bookmarkStart w:id="0" w:name="_TOCRange"/>
    </w:p>
    <w:p w14:paraId="66FD140E">
      <w:pPr>
        <w:pStyle w:val="22"/>
        <w:rPr>
          <w:color w:val="000000"/>
        </w:rPr>
      </w:pPr>
    </w:p>
    <w:p w14:paraId="15F74DB5">
      <w:pPr>
        <w:pStyle w:val="14"/>
        <w:jc w:val="center"/>
      </w:pPr>
    </w:p>
    <w:p w14:paraId="4B6CCC74">
      <w:pPr>
        <w:pStyle w:val="14"/>
        <w:jc w:val="center"/>
        <w:rPr>
          <w:rFonts w:ascii="Helvetica Neue" w:hAnsi="Helvetica Neue" w:eastAsia="Helvetica Neue" w:cs="Helvetica Neue"/>
          <w:b/>
          <w:bCs/>
        </w:rPr>
      </w:pPr>
      <w:r>
        <w:rPr>
          <w:rFonts w:ascii="Helvetica Neue" w:hAnsi="Helvetica Neue"/>
          <w:b/>
          <w:bCs/>
          <w:lang w:val="en-US"/>
        </w:rPr>
        <w:t xml:space="preserve">University of Nigeria </w:t>
      </w:r>
    </w:p>
    <w:p w14:paraId="27EC64B8">
      <w:pPr>
        <w:pStyle w:val="14"/>
        <w:jc w:val="center"/>
        <w:rPr>
          <w:rFonts w:ascii="Helvetica Neue" w:hAnsi="Helvetica Neue" w:eastAsia="Helvetica Neue" w:cs="Helvetica Neue"/>
          <w:b/>
          <w:bCs/>
          <w:sz w:val="42"/>
          <w:szCs w:val="42"/>
        </w:rPr>
      </w:pPr>
      <w:r>
        <w:rPr>
          <w:rFonts w:ascii="Helvetica Neue" w:hAnsi="Helvetica Neue"/>
          <w:b/>
          <w:bCs/>
          <w:sz w:val="42"/>
          <w:szCs w:val="42"/>
          <w:lang w:val="en-US"/>
        </w:rPr>
        <w:t>Public Private Partnership (PPP) Draft Policy</w:t>
      </w:r>
    </w:p>
    <w:p w14:paraId="32E0B3DF">
      <w:pPr>
        <w:pStyle w:val="23"/>
      </w:pPr>
    </w:p>
    <w:p w14:paraId="7161415C">
      <w:pPr>
        <w:pStyle w:val="23"/>
      </w:pPr>
      <w:r>
        <w:rPr>
          <w:lang w:val="en-US" w:eastAsia="en-US"/>
        </w:rPr>
        <w:drawing>
          <wp:anchor distT="215900" distB="215900" distL="215900" distR="215900" simplePos="0" relativeHeight="251660288" behindDoc="0" locked="0" layoutInCell="1" allowOverlap="1">
            <wp:simplePos x="0" y="0"/>
            <wp:positionH relativeFrom="margin">
              <wp:posOffset>963295</wp:posOffset>
            </wp:positionH>
            <wp:positionV relativeFrom="line">
              <wp:posOffset>200660</wp:posOffset>
            </wp:positionV>
            <wp:extent cx="3434715" cy="3979545"/>
            <wp:effectExtent l="0" t="0" r="0" b="0"/>
            <wp:wrapTopAndBottom/>
            <wp:docPr id="1073741826" name="officeArt object" descr="design sketch for a poo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design sketch for a pool area"/>
                    <pic:cNvPicPr>
                      <a:picLocks noChangeAspect="1"/>
                    </pic:cNvPicPr>
                  </pic:nvPicPr>
                  <pic:blipFill>
                    <a:blip r:embed="rId7"/>
                    <a:srcRect/>
                    <a:stretch>
                      <a:fillRect/>
                    </a:stretch>
                  </pic:blipFill>
                  <pic:spPr>
                    <a:xfrm>
                      <a:off x="0" y="0"/>
                      <a:ext cx="3434907" cy="3979236"/>
                    </a:xfrm>
                    <a:prstGeom prst="rect">
                      <a:avLst/>
                    </a:prstGeom>
                    <a:ln w="3175" cap="flat">
                      <a:solidFill>
                        <a:srgbClr val="000000"/>
                      </a:solidFill>
                      <a:prstDash val="solid"/>
                      <a:miter lim="400000"/>
                      <a:headEnd/>
                      <a:tailEnd/>
                    </a:ln>
                    <a:effectLst/>
                  </pic:spPr>
                </pic:pic>
              </a:graphicData>
            </a:graphic>
          </wp:anchor>
        </w:drawing>
      </w:r>
    </w:p>
    <w:p w14:paraId="3B154DF9">
      <w:pPr>
        <w:pStyle w:val="23"/>
      </w:pPr>
    </w:p>
    <w:p w14:paraId="3B5D2458">
      <w:pPr>
        <w:pStyle w:val="23"/>
        <w:rPr>
          <w:sz w:val="28"/>
          <w:szCs w:val="28"/>
        </w:rPr>
      </w:pPr>
    </w:p>
    <w:p w14:paraId="7F482A78">
      <w:pPr>
        <w:pStyle w:val="23"/>
        <w:rPr>
          <w:sz w:val="28"/>
          <w:szCs w:val="28"/>
        </w:rPr>
      </w:pPr>
    </w:p>
    <w:p w14:paraId="0E922A05">
      <w:pPr>
        <w:pStyle w:val="23"/>
        <w:rPr>
          <w:sz w:val="28"/>
          <w:szCs w:val="28"/>
        </w:rPr>
      </w:pPr>
    </w:p>
    <w:p w14:paraId="660784F1">
      <w:pPr>
        <w:pStyle w:val="23"/>
        <w:rPr>
          <w:sz w:val="28"/>
          <w:szCs w:val="28"/>
        </w:rPr>
      </w:pPr>
    </w:p>
    <w:p w14:paraId="49840D08">
      <w:pPr>
        <w:pStyle w:val="23"/>
      </w:pPr>
    </w:p>
    <w:p w14:paraId="69F4D2EE">
      <w:pPr>
        <w:pStyle w:val="24"/>
      </w:pPr>
      <w:r>
        <w:rPr>
          <w:rFonts w:ascii="Helvetica Neue" w:hAnsi="Helvetica Neue" w:eastAsia="Helvetica Neue" w:cs="Helvetica Neue"/>
          <w:b/>
          <w:bCs/>
          <w:color w:val="000000"/>
        </w:rPr>
        <w:fldChar w:fldCharType="begin"/>
      </w:r>
      <w:r>
        <w:rPr>
          <w:rFonts w:ascii="Helvetica Neue" w:hAnsi="Helvetica Neue" w:eastAsia="Helvetica Neue" w:cs="Helvetica Neue"/>
          <w:b/>
          <w:bCs/>
          <w:color w:val="000000"/>
        </w:rPr>
        <w:instrText xml:space="preserve"> TOC \o 1-3 \b _TOCRange </w:instrText>
      </w:r>
      <w:r>
        <w:rPr>
          <w:rFonts w:ascii="Helvetica Neue" w:hAnsi="Helvetica Neue" w:eastAsia="Helvetica Neue" w:cs="Helvetica Neue"/>
          <w:b/>
          <w:bCs/>
          <w:color w:val="000000"/>
        </w:rPr>
        <w:fldChar w:fldCharType="separate"/>
      </w:r>
    </w:p>
    <w:p w14:paraId="704CEB4B">
      <w:pPr>
        <w:pStyle w:val="15"/>
      </w:pPr>
      <w:r>
        <w:rPr>
          <w:lang w:val="en-US"/>
        </w:rPr>
        <w:t>1.0. Executive Summary</w:t>
      </w:r>
      <w:r>
        <w:rPr>
          <w:lang w:val="en-US"/>
        </w:rPr>
        <w:tab/>
      </w:r>
      <w:r>
        <w:fldChar w:fldCharType="begin"/>
      </w:r>
      <w:r>
        <w:instrText xml:space="preserve"> PAGEREF _Toc \h </w:instrText>
      </w:r>
      <w:r>
        <w:fldChar w:fldCharType="separate"/>
      </w:r>
      <w:r>
        <w:t>5</w:t>
      </w:r>
      <w:r>
        <w:fldChar w:fldCharType="end"/>
      </w:r>
    </w:p>
    <w:p w14:paraId="51EB9F98">
      <w:pPr>
        <w:pStyle w:val="17"/>
      </w:pPr>
      <w:r>
        <w:rPr>
          <w:lang w:val="fr-FR"/>
        </w:rPr>
        <w:t>1.1 Objectives</w:t>
      </w:r>
      <w:r>
        <w:rPr>
          <w:lang w:val="fr-FR"/>
        </w:rPr>
        <w:tab/>
      </w:r>
      <w:r>
        <w:fldChar w:fldCharType="begin"/>
      </w:r>
      <w:r>
        <w:instrText xml:space="preserve"> PAGEREF _Toc1 \h </w:instrText>
      </w:r>
      <w:r>
        <w:fldChar w:fldCharType="separate"/>
      </w:r>
      <w:r>
        <w:t>5</w:t>
      </w:r>
      <w:r>
        <w:fldChar w:fldCharType="end"/>
      </w:r>
    </w:p>
    <w:p w14:paraId="57567417">
      <w:pPr>
        <w:pStyle w:val="17"/>
      </w:pPr>
      <w:r>
        <w:rPr>
          <w:lang w:val="en-US"/>
        </w:rPr>
        <w:t>1.2. Guiding Principles</w:t>
      </w:r>
      <w:r>
        <w:rPr>
          <w:lang w:val="en-US"/>
        </w:rPr>
        <w:tab/>
      </w:r>
      <w:r>
        <w:fldChar w:fldCharType="begin"/>
      </w:r>
      <w:r>
        <w:instrText xml:space="preserve"> PAGEREF _Toc2 \h </w:instrText>
      </w:r>
      <w:r>
        <w:fldChar w:fldCharType="separate"/>
      </w:r>
      <w:r>
        <w:t>5</w:t>
      </w:r>
      <w:r>
        <w:fldChar w:fldCharType="end"/>
      </w:r>
    </w:p>
    <w:p w14:paraId="2AB08972">
      <w:pPr>
        <w:pStyle w:val="17"/>
      </w:pPr>
      <w:r>
        <w:rPr>
          <w:lang w:val="en-US"/>
        </w:rPr>
        <w:t>1.3. Framework</w:t>
      </w:r>
      <w:r>
        <w:rPr>
          <w:lang w:val="en-US"/>
        </w:rPr>
        <w:tab/>
      </w:r>
      <w:r>
        <w:fldChar w:fldCharType="begin"/>
      </w:r>
      <w:r>
        <w:instrText xml:space="preserve"> PAGEREF _Toc3 \h </w:instrText>
      </w:r>
      <w:r>
        <w:fldChar w:fldCharType="separate"/>
      </w:r>
      <w:r>
        <w:t>6</w:t>
      </w:r>
      <w:r>
        <w:fldChar w:fldCharType="end"/>
      </w:r>
    </w:p>
    <w:p w14:paraId="5195B441">
      <w:pPr>
        <w:pStyle w:val="17"/>
      </w:pPr>
      <w:r>
        <w:rPr>
          <w:lang w:val="en-US"/>
        </w:rPr>
        <w:t>1.4. Expected Outcomes</w:t>
      </w:r>
      <w:r>
        <w:rPr>
          <w:lang w:val="en-US"/>
        </w:rPr>
        <w:tab/>
      </w:r>
      <w:r>
        <w:fldChar w:fldCharType="begin"/>
      </w:r>
      <w:r>
        <w:instrText xml:space="preserve"> PAGEREF _Toc4 \h </w:instrText>
      </w:r>
      <w:r>
        <w:fldChar w:fldCharType="separate"/>
      </w:r>
      <w:r>
        <w:t>6</w:t>
      </w:r>
      <w:r>
        <w:fldChar w:fldCharType="end"/>
      </w:r>
    </w:p>
    <w:p w14:paraId="7730F348">
      <w:pPr>
        <w:pStyle w:val="15"/>
      </w:pPr>
      <w:r>
        <w:rPr>
          <w:lang w:val="fr-FR"/>
        </w:rPr>
        <w:t>2.0. introduction</w:t>
      </w:r>
      <w:r>
        <w:rPr>
          <w:lang w:val="fr-FR"/>
        </w:rPr>
        <w:tab/>
      </w:r>
      <w:r>
        <w:fldChar w:fldCharType="begin"/>
      </w:r>
      <w:r>
        <w:instrText xml:space="preserve"> PAGEREF _Toc5 \h </w:instrText>
      </w:r>
      <w:r>
        <w:fldChar w:fldCharType="separate"/>
      </w:r>
      <w:r>
        <w:t>7</w:t>
      </w:r>
      <w:r>
        <w:fldChar w:fldCharType="end"/>
      </w:r>
    </w:p>
    <w:p w14:paraId="2BF210E9">
      <w:pPr>
        <w:pStyle w:val="17"/>
      </w:pPr>
      <w:r>
        <w:rPr>
          <w:lang w:val="en-US"/>
        </w:rPr>
        <w:t>2.1. Background</w:t>
      </w:r>
      <w:r>
        <w:rPr>
          <w:lang w:val="en-US"/>
        </w:rPr>
        <w:tab/>
      </w:r>
      <w:r>
        <w:fldChar w:fldCharType="begin"/>
      </w:r>
      <w:r>
        <w:instrText xml:space="preserve"> PAGEREF _Toc6 \h </w:instrText>
      </w:r>
      <w:r>
        <w:fldChar w:fldCharType="separate"/>
      </w:r>
      <w:r>
        <w:t>7</w:t>
      </w:r>
      <w:r>
        <w:fldChar w:fldCharType="end"/>
      </w:r>
    </w:p>
    <w:p w14:paraId="007F88F3">
      <w:pPr>
        <w:pStyle w:val="17"/>
        <w:rPr>
          <w:lang w:val="en-US" w:eastAsia="zh-CN"/>
        </w:rPr>
      </w:pPr>
      <w:r>
        <w:rPr>
          <w:lang w:val="en-US"/>
        </w:rPr>
        <w:t>2.2 Context and Purpose of PPP Policy</w:t>
      </w:r>
      <w:r>
        <w:rPr>
          <w:lang w:val="en-US"/>
        </w:rPr>
        <w:tab/>
      </w:r>
      <w:r>
        <w:rPr>
          <w:lang w:val="en-US"/>
        </w:rPr>
        <w:t>7</w:t>
      </w:r>
    </w:p>
    <w:p w14:paraId="37B57EA3">
      <w:pPr>
        <w:pStyle w:val="17"/>
      </w:pPr>
      <w:r>
        <w:rPr>
          <w:lang w:val="en-US"/>
        </w:rPr>
        <w:t>2.3. The Four Key Objectives of PPP Initiatives in UNN are:</w:t>
      </w:r>
      <w:r>
        <w:rPr>
          <w:lang w:val="en-US"/>
        </w:rPr>
        <w:tab/>
      </w:r>
      <w:r>
        <w:fldChar w:fldCharType="begin"/>
      </w:r>
      <w:r>
        <w:instrText xml:space="preserve"> PAGEREF _Toc8 \h </w:instrText>
      </w:r>
      <w:r>
        <w:fldChar w:fldCharType="separate"/>
      </w:r>
      <w:r>
        <w:t>8</w:t>
      </w:r>
      <w:r>
        <w:fldChar w:fldCharType="end"/>
      </w:r>
    </w:p>
    <w:p w14:paraId="48C7FB12">
      <w:pPr>
        <w:pStyle w:val="17"/>
        <w:ind w:left="726"/>
      </w:pPr>
      <w:r>
        <w:rPr>
          <w:lang w:val="en-US"/>
        </w:rPr>
        <w:t>2.3.1. Other Specific Objectives Sequel to the Adoption of a Robust PPP Intervention Model are to:</w:t>
      </w:r>
      <w:r>
        <w:rPr>
          <w:lang w:val="en-US"/>
        </w:rPr>
        <w:tab/>
      </w:r>
      <w:r>
        <w:fldChar w:fldCharType="begin"/>
      </w:r>
      <w:r>
        <w:instrText xml:space="preserve"> PAGEREF _Toc9 \h </w:instrText>
      </w:r>
      <w:r>
        <w:fldChar w:fldCharType="separate"/>
      </w:r>
      <w:r>
        <w:t>9</w:t>
      </w:r>
      <w:r>
        <w:fldChar w:fldCharType="end"/>
      </w:r>
    </w:p>
    <w:p w14:paraId="3AF7CE43">
      <w:pPr>
        <w:pStyle w:val="15"/>
      </w:pPr>
      <w:r>
        <w:rPr>
          <w:lang w:val="en-US"/>
        </w:rPr>
        <w:t>3.0. Guiding Principles of the PPP policy</w:t>
      </w:r>
      <w:r>
        <w:rPr>
          <w:lang w:val="en-US"/>
        </w:rPr>
        <w:tab/>
      </w:r>
      <w:r>
        <w:fldChar w:fldCharType="begin"/>
      </w:r>
      <w:r>
        <w:instrText xml:space="preserve"> PAGEREF _Toc10 \h </w:instrText>
      </w:r>
      <w:r>
        <w:fldChar w:fldCharType="separate"/>
      </w:r>
      <w:r>
        <w:t>10</w:t>
      </w:r>
      <w:r>
        <w:fldChar w:fldCharType="end"/>
      </w:r>
    </w:p>
    <w:p w14:paraId="4FB0A952">
      <w:pPr>
        <w:pStyle w:val="17"/>
      </w:pPr>
      <w:r>
        <w:rPr>
          <w:lang w:val="en-US"/>
        </w:rPr>
        <w:t>3.1. Guiding Characteristics of PPP Policy</w:t>
      </w:r>
      <w:r>
        <w:rPr>
          <w:lang w:val="en-US"/>
        </w:rPr>
        <w:tab/>
      </w:r>
      <w:r>
        <w:fldChar w:fldCharType="begin"/>
      </w:r>
      <w:r>
        <w:instrText xml:space="preserve"> PAGEREF _Toc11 \h </w:instrText>
      </w:r>
      <w:r>
        <w:fldChar w:fldCharType="separate"/>
      </w:r>
      <w:r>
        <w:t>10</w:t>
      </w:r>
      <w:r>
        <w:fldChar w:fldCharType="end"/>
      </w:r>
    </w:p>
    <w:p w14:paraId="475C857B">
      <w:pPr>
        <w:pStyle w:val="19"/>
        <w:ind w:left="504"/>
      </w:pPr>
      <w:r>
        <w:rPr>
          <w:lang w:val="en-US"/>
        </w:rPr>
        <w:t>3.1.1.2 Independent PPP Company</w:t>
      </w:r>
      <w:r>
        <w:rPr>
          <w:lang w:val="en-US"/>
        </w:rPr>
        <w:tab/>
      </w:r>
      <w:r>
        <w:fldChar w:fldCharType="begin"/>
      </w:r>
      <w:r>
        <w:instrText xml:space="preserve"> PAGEREF _Toc12 \h </w:instrText>
      </w:r>
      <w:r>
        <w:fldChar w:fldCharType="separate"/>
      </w:r>
      <w:r>
        <w:t>11</w:t>
      </w:r>
      <w:r>
        <w:fldChar w:fldCharType="end"/>
      </w:r>
    </w:p>
    <w:p w14:paraId="43799F98">
      <w:pPr>
        <w:pStyle w:val="19"/>
      </w:pPr>
      <w:r>
        <w:rPr>
          <w:lang w:val="en-US"/>
        </w:rPr>
        <w:t>3.1.1.3. Allocation of Risks</w:t>
      </w:r>
      <w:r>
        <w:rPr>
          <w:lang w:val="en-US"/>
        </w:rPr>
        <w:tab/>
      </w:r>
      <w:r>
        <w:fldChar w:fldCharType="begin"/>
      </w:r>
      <w:r>
        <w:instrText xml:space="preserve"> PAGEREF _Toc13 \h </w:instrText>
      </w:r>
      <w:r>
        <w:fldChar w:fldCharType="separate"/>
      </w:r>
      <w:r>
        <w:t>11</w:t>
      </w:r>
      <w:r>
        <w:fldChar w:fldCharType="end"/>
      </w:r>
    </w:p>
    <w:p w14:paraId="2BEC50E1">
      <w:pPr>
        <w:pStyle w:val="19"/>
      </w:pPr>
      <w:r>
        <w:rPr>
          <w:lang w:val="en-US"/>
        </w:rPr>
        <w:t>3.1.1.4. Output Standards and Specifications</w:t>
      </w:r>
      <w:r>
        <w:rPr>
          <w:lang w:val="en-US"/>
        </w:rPr>
        <w:tab/>
      </w:r>
      <w:r>
        <w:fldChar w:fldCharType="begin"/>
      </w:r>
      <w:r>
        <w:instrText xml:space="preserve"> PAGEREF _Toc14 \h </w:instrText>
      </w:r>
      <w:r>
        <w:fldChar w:fldCharType="separate"/>
      </w:r>
      <w:r>
        <w:t>11</w:t>
      </w:r>
      <w:r>
        <w:fldChar w:fldCharType="end"/>
      </w:r>
    </w:p>
    <w:p w14:paraId="23E7863B">
      <w:pPr>
        <w:pStyle w:val="19"/>
        <w:rPr>
          <w:lang w:val="en-US" w:eastAsia="zh-CN"/>
        </w:rPr>
      </w:pPr>
      <w:r>
        <w:rPr>
          <w:lang w:val="en-US"/>
        </w:rPr>
        <w:t>3.1.1.5.  Performance-Based Payment Mechanism</w:t>
      </w:r>
      <w:r>
        <w:rPr>
          <w:lang w:val="en-US"/>
        </w:rPr>
        <w:tab/>
      </w:r>
      <w:r>
        <w:rPr>
          <w:lang w:val="en-US"/>
        </w:rPr>
        <w:t>11</w:t>
      </w:r>
    </w:p>
    <w:p w14:paraId="04154BA5">
      <w:pPr>
        <w:pStyle w:val="17"/>
      </w:pPr>
      <w:r>
        <w:rPr>
          <w:lang w:val="en-US"/>
        </w:rPr>
        <w:t>3.2. Guiding Financial Characteristics</w:t>
      </w:r>
      <w:r>
        <w:rPr>
          <w:lang w:val="en-US"/>
        </w:rPr>
        <w:tab/>
      </w:r>
      <w:r>
        <w:fldChar w:fldCharType="begin"/>
      </w:r>
      <w:r>
        <w:instrText xml:space="preserve"> PAGEREF _Toc16 \h </w:instrText>
      </w:r>
      <w:r>
        <w:fldChar w:fldCharType="separate"/>
      </w:r>
      <w:r>
        <w:t>12</w:t>
      </w:r>
      <w:r>
        <w:fldChar w:fldCharType="end"/>
      </w:r>
    </w:p>
    <w:p w14:paraId="4003B3FC">
      <w:pPr>
        <w:pStyle w:val="19"/>
      </w:pPr>
      <w:r>
        <w:rPr>
          <w:lang w:val="en-US"/>
        </w:rPr>
        <w:t>3.2.1. Private Financing</w:t>
      </w:r>
      <w:r>
        <w:rPr>
          <w:lang w:val="en-US"/>
        </w:rPr>
        <w:tab/>
      </w:r>
      <w:r>
        <w:fldChar w:fldCharType="begin"/>
      </w:r>
      <w:r>
        <w:instrText xml:space="preserve"> PAGEREF _Toc17 \h </w:instrText>
      </w:r>
      <w:r>
        <w:fldChar w:fldCharType="separate"/>
      </w:r>
      <w:r>
        <w:t>12</w:t>
      </w:r>
      <w:r>
        <w:fldChar w:fldCharType="end"/>
      </w:r>
    </w:p>
    <w:p w14:paraId="691CA97B">
      <w:pPr>
        <w:pStyle w:val="19"/>
        <w:ind w:left="720"/>
        <w:rPr>
          <w:lang w:val="en-US" w:eastAsia="zh-CN"/>
        </w:rPr>
      </w:pPr>
      <w:r>
        <w:rPr>
          <w:lang w:val="de-DE"/>
        </w:rPr>
        <w:t>3.2.2. User Fees</w:t>
      </w:r>
      <w:r>
        <w:rPr>
          <w:lang w:val="de-DE"/>
        </w:rPr>
        <w:tab/>
      </w:r>
      <w:r>
        <w:rPr>
          <w:lang w:val="en-US"/>
        </w:rPr>
        <w:t>12</w:t>
      </w:r>
    </w:p>
    <w:p w14:paraId="0B9EB2D9">
      <w:pPr>
        <w:pStyle w:val="19"/>
        <w:rPr>
          <w:lang w:val="en-US" w:eastAsia="zh-CN"/>
        </w:rPr>
      </w:pPr>
      <w:r>
        <w:rPr>
          <w:lang w:val="en-US"/>
        </w:rPr>
        <w:t>3.2.3. Viability Funding Gap (VGF) or Availability Payments</w:t>
      </w:r>
      <w:r>
        <w:rPr>
          <w:lang w:val="en-US"/>
        </w:rPr>
        <w:tab/>
      </w:r>
      <w:r>
        <w:rPr>
          <w:lang w:val="en-US"/>
        </w:rPr>
        <w:t>12</w:t>
      </w:r>
    </w:p>
    <w:p w14:paraId="623FD62B">
      <w:pPr>
        <w:pStyle w:val="19"/>
        <w:rPr>
          <w:lang w:val="en-US" w:eastAsia="zh-CN"/>
        </w:rPr>
      </w:pPr>
      <w:r>
        <w:rPr>
          <w:lang w:val="en-US"/>
        </w:rPr>
        <w:t>3.2.4. Service Performance Standards</w:t>
      </w:r>
      <w:r>
        <w:rPr>
          <w:lang w:val="en-US"/>
        </w:rPr>
        <w:tab/>
      </w:r>
      <w:r>
        <w:rPr>
          <w:lang w:val="en-US"/>
        </w:rPr>
        <w:t>13</w:t>
      </w:r>
    </w:p>
    <w:p w14:paraId="46081752">
      <w:pPr>
        <w:pStyle w:val="15"/>
        <w:rPr>
          <w:lang w:val="en-US" w:eastAsia="zh-CN"/>
        </w:rPr>
      </w:pPr>
      <w:r>
        <w:rPr>
          <w:lang w:val="en-US"/>
        </w:rPr>
        <w:t>4.0. Legal and policy framework</w:t>
      </w:r>
      <w:r>
        <w:rPr>
          <w:lang w:val="en-US"/>
        </w:rPr>
        <w:tab/>
      </w:r>
      <w:r>
        <w:rPr>
          <w:lang w:val="en-US"/>
        </w:rPr>
        <w:t>14</w:t>
      </w:r>
    </w:p>
    <w:p w14:paraId="3F738D9D">
      <w:pPr>
        <w:pStyle w:val="17"/>
        <w:rPr>
          <w:lang w:val="en-US" w:eastAsia="zh-CN"/>
        </w:rPr>
      </w:pPr>
      <w:r>
        <w:rPr>
          <w:lang w:val="en-US"/>
        </w:rPr>
        <w:t>4.1. University of Nigeria Procurement Policy</w:t>
      </w:r>
      <w:r>
        <w:rPr>
          <w:lang w:val="en-US"/>
        </w:rPr>
        <w:tab/>
      </w:r>
      <w:r>
        <w:rPr>
          <w:lang w:val="en-US"/>
        </w:rPr>
        <w:t>14</w:t>
      </w:r>
    </w:p>
    <w:p w14:paraId="4F0C9E4B">
      <w:pPr>
        <w:pStyle w:val="17"/>
        <w:rPr>
          <w:lang w:val="en-US" w:eastAsia="zh-CN"/>
        </w:rPr>
      </w:pPr>
      <w:r>
        <w:rPr>
          <w:lang w:val="en-US"/>
        </w:rPr>
        <w:t>4.2. Supporting Regulations</w:t>
      </w:r>
      <w:r>
        <w:rPr>
          <w:lang w:val="en-US"/>
        </w:rPr>
        <w:tab/>
      </w:r>
      <w:r>
        <w:rPr>
          <w:lang w:val="en-US"/>
        </w:rPr>
        <w:t>14</w:t>
      </w:r>
    </w:p>
    <w:p w14:paraId="3221906B">
      <w:pPr>
        <w:pStyle w:val="15"/>
        <w:rPr>
          <w:lang w:val="en-US" w:eastAsia="zh-CN"/>
        </w:rPr>
      </w:pPr>
      <w:r>
        <w:rPr>
          <w:lang w:val="en-US"/>
        </w:rPr>
        <w:t>5.0. criteria for selecting a ppp partner</w:t>
      </w:r>
      <w:r>
        <w:rPr>
          <w:lang w:val="en-US"/>
        </w:rPr>
        <w:tab/>
      </w:r>
      <w:r>
        <w:rPr>
          <w:lang w:val="en-US"/>
        </w:rPr>
        <w:t>15</w:t>
      </w:r>
    </w:p>
    <w:p w14:paraId="4CAE254C">
      <w:pPr>
        <w:pStyle w:val="17"/>
        <w:rPr>
          <w:lang w:val="en-US" w:eastAsia="zh-CN"/>
        </w:rPr>
      </w:pPr>
      <w:r>
        <w:rPr>
          <w:lang w:val="en-US"/>
        </w:rPr>
        <w:t>5.1. Technical Criteria</w:t>
      </w:r>
      <w:r>
        <w:rPr>
          <w:lang w:val="en-US"/>
        </w:rPr>
        <w:tab/>
      </w:r>
      <w:r>
        <w:rPr>
          <w:lang w:val="en-US"/>
        </w:rPr>
        <w:t>15</w:t>
      </w:r>
    </w:p>
    <w:p w14:paraId="4FD9B8F0">
      <w:pPr>
        <w:pStyle w:val="17"/>
        <w:rPr>
          <w:lang w:val="en-US" w:eastAsia="zh-CN"/>
        </w:rPr>
      </w:pPr>
      <w:r>
        <w:rPr>
          <w:lang w:val="pt-PT"/>
        </w:rPr>
        <w:t>5.2. Financial Criteria</w:t>
      </w:r>
      <w:r>
        <w:rPr>
          <w:lang w:val="pt-PT"/>
        </w:rPr>
        <w:tab/>
      </w:r>
      <w:r>
        <w:rPr>
          <w:lang w:val="en-US"/>
        </w:rPr>
        <w:t>15</w:t>
      </w:r>
    </w:p>
    <w:p w14:paraId="6E98B157">
      <w:pPr>
        <w:pStyle w:val="15"/>
        <w:rPr>
          <w:lang w:val="en-US" w:eastAsia="zh-CN"/>
        </w:rPr>
      </w:pPr>
      <w:r>
        <w:rPr>
          <w:lang w:val="en-US"/>
        </w:rPr>
        <w:t>6.0. institutional and organisational framework for ppp</w:t>
      </w:r>
      <w:r>
        <w:rPr>
          <w:lang w:val="en-US"/>
        </w:rPr>
        <w:tab/>
      </w:r>
      <w:r>
        <w:rPr>
          <w:lang w:val="en-US"/>
        </w:rPr>
        <w:t>17</w:t>
      </w:r>
    </w:p>
    <w:p w14:paraId="72D854DB">
      <w:pPr>
        <w:pStyle w:val="17"/>
      </w:pPr>
      <w:r>
        <w:rPr>
          <w:lang w:val="en-US"/>
        </w:rPr>
        <w:t>6.1. Establishing a PPP UNIT</w:t>
      </w:r>
      <w:r>
        <w:rPr>
          <w:lang w:val="en-US"/>
        </w:rPr>
        <w:tab/>
      </w:r>
      <w:r>
        <w:fldChar w:fldCharType="begin"/>
      </w:r>
      <w:r>
        <w:instrText xml:space="preserve"> PAGEREF _Toc28 \h </w:instrText>
      </w:r>
      <w:r>
        <w:fldChar w:fldCharType="separate"/>
      </w:r>
      <w:r>
        <w:t>20</w:t>
      </w:r>
      <w:r>
        <w:fldChar w:fldCharType="end"/>
      </w:r>
    </w:p>
    <w:p w14:paraId="703C584E">
      <w:pPr>
        <w:pStyle w:val="17"/>
        <w:rPr>
          <w:lang w:val="en-US" w:eastAsia="zh-CN"/>
        </w:rPr>
      </w:pPr>
      <w:r>
        <w:t>6.2. PPP UNIT Directorate</w:t>
      </w:r>
      <w:r>
        <w:tab/>
      </w:r>
      <w:r>
        <w:rPr>
          <w:lang w:val="en-US"/>
        </w:rPr>
        <w:t>21</w:t>
      </w:r>
    </w:p>
    <w:p w14:paraId="5614A730">
      <w:pPr>
        <w:pStyle w:val="19"/>
        <w:rPr>
          <w:lang w:val="en-US" w:eastAsia="zh-CN"/>
        </w:rPr>
      </w:pPr>
      <w:r>
        <w:rPr>
          <w:lang w:val="en-US"/>
        </w:rPr>
        <w:t>UNIT Head, Business Development</w:t>
      </w:r>
      <w:r>
        <w:rPr>
          <w:lang w:val="en-US"/>
        </w:rPr>
        <w:tab/>
      </w:r>
      <w:r>
        <w:rPr>
          <w:lang w:val="en-US"/>
        </w:rPr>
        <w:t>21</w:t>
      </w:r>
    </w:p>
    <w:p w14:paraId="715ECA34">
      <w:pPr>
        <w:pStyle w:val="19"/>
        <w:rPr>
          <w:lang w:val="en-US" w:eastAsia="zh-CN"/>
        </w:rPr>
      </w:pPr>
      <w:r>
        <w:rPr>
          <w:lang w:val="en-US"/>
        </w:rPr>
        <w:t>UNIT Head, Legal</w:t>
      </w:r>
      <w:r>
        <w:rPr>
          <w:lang w:val="en-US"/>
        </w:rPr>
        <w:tab/>
      </w:r>
      <w:r>
        <w:rPr>
          <w:lang w:val="en-US"/>
        </w:rPr>
        <w:t>21</w:t>
      </w:r>
    </w:p>
    <w:p w14:paraId="5C803110">
      <w:pPr>
        <w:pStyle w:val="19"/>
        <w:rPr>
          <w:lang w:val="en-US" w:eastAsia="zh-CN"/>
        </w:rPr>
      </w:pPr>
      <w:r>
        <w:rPr>
          <w:lang w:val="en-US"/>
        </w:rPr>
        <w:t>UNIT Head, Projects</w:t>
      </w:r>
      <w:r>
        <w:rPr>
          <w:lang w:val="en-US"/>
        </w:rPr>
        <w:tab/>
      </w:r>
      <w:r>
        <w:rPr>
          <w:lang w:val="en-US"/>
        </w:rPr>
        <w:t>21</w:t>
      </w:r>
    </w:p>
    <w:p w14:paraId="3CE71C89">
      <w:pPr>
        <w:pStyle w:val="19"/>
        <w:rPr>
          <w:lang w:val="en-US" w:eastAsia="zh-CN"/>
        </w:rPr>
      </w:pPr>
      <w:r>
        <w:rPr>
          <w:lang w:val="en-US"/>
        </w:rPr>
        <w:t>Independent Auditor and Evaluators</w:t>
      </w:r>
      <w:r>
        <w:rPr>
          <w:lang w:val="en-US"/>
        </w:rPr>
        <w:tab/>
      </w:r>
      <w:r>
        <w:rPr>
          <w:lang w:val="en-US"/>
        </w:rPr>
        <w:t>22</w:t>
      </w:r>
    </w:p>
    <w:p w14:paraId="093E98ED">
      <w:pPr>
        <w:pStyle w:val="17"/>
        <w:rPr>
          <w:lang w:val="en-US" w:eastAsia="zh-CN"/>
        </w:rPr>
      </w:pPr>
      <w:r>
        <w:rPr>
          <w:lang w:val="en-US"/>
        </w:rPr>
        <w:t>6.3. PPP Directorate/UNIT Functions/Responsibilities</w:t>
      </w:r>
      <w:r>
        <w:rPr>
          <w:lang w:val="en-US"/>
        </w:rPr>
        <w:tab/>
      </w:r>
      <w:r>
        <w:rPr>
          <w:lang w:val="en-US"/>
        </w:rPr>
        <w:t>22</w:t>
      </w:r>
    </w:p>
    <w:p w14:paraId="417D77D1">
      <w:pPr>
        <w:pStyle w:val="19"/>
        <w:rPr>
          <w:lang w:val="en-US" w:eastAsia="zh-CN"/>
        </w:rPr>
      </w:pPr>
      <w:r>
        <w:rPr>
          <w:lang w:val="en-US"/>
        </w:rPr>
        <w:t>Policy Implementation and Advisory</w:t>
      </w:r>
      <w:r>
        <w:rPr>
          <w:lang w:val="en-US"/>
        </w:rPr>
        <w:tab/>
      </w:r>
      <w:r>
        <w:rPr>
          <w:lang w:val="en-US"/>
        </w:rPr>
        <w:t>22</w:t>
      </w:r>
    </w:p>
    <w:p w14:paraId="056A5DDA">
      <w:pPr>
        <w:pStyle w:val="19"/>
        <w:rPr>
          <w:lang w:val="en-US" w:eastAsia="zh-CN"/>
        </w:rPr>
      </w:pPr>
      <w:r>
        <w:rPr>
          <w:lang w:val="en-US"/>
        </w:rPr>
        <w:t>Project Identification &amp; Development</w:t>
      </w:r>
      <w:r>
        <w:rPr>
          <w:lang w:val="en-US"/>
        </w:rPr>
        <w:tab/>
      </w:r>
      <w:r>
        <w:rPr>
          <w:lang w:val="en-US"/>
        </w:rPr>
        <w:t>22</w:t>
      </w:r>
    </w:p>
    <w:p w14:paraId="5C9F2E43">
      <w:pPr>
        <w:pStyle w:val="19"/>
        <w:rPr>
          <w:lang w:val="en-US" w:eastAsia="zh-CN"/>
        </w:rPr>
      </w:pPr>
      <w:r>
        <w:rPr>
          <w:lang w:val="en-US"/>
        </w:rPr>
        <w:t>Compliance &amp; Regulatory Liaison</w:t>
      </w:r>
      <w:r>
        <w:rPr>
          <w:lang w:val="en-US"/>
        </w:rPr>
        <w:tab/>
      </w:r>
      <w:r>
        <w:rPr>
          <w:lang w:val="en-US"/>
        </w:rPr>
        <w:t>22</w:t>
      </w:r>
    </w:p>
    <w:p w14:paraId="61BEB7C6">
      <w:pPr>
        <w:pStyle w:val="19"/>
        <w:rPr>
          <w:lang w:val="en-US" w:eastAsia="zh-CN"/>
        </w:rPr>
      </w:pPr>
      <w:r>
        <w:rPr>
          <w:lang w:val="en-US"/>
        </w:rPr>
        <w:t>Procurement &amp; Partner Selection</w:t>
      </w:r>
      <w:r>
        <w:rPr>
          <w:lang w:val="en-US"/>
        </w:rPr>
        <w:tab/>
      </w:r>
      <w:r>
        <w:rPr>
          <w:lang w:val="en-US"/>
        </w:rPr>
        <w:t>23</w:t>
      </w:r>
    </w:p>
    <w:p w14:paraId="6C9D154C">
      <w:pPr>
        <w:pStyle w:val="19"/>
        <w:rPr>
          <w:lang w:val="en-US" w:eastAsia="zh-CN"/>
        </w:rPr>
      </w:pPr>
      <w:r>
        <w:rPr>
          <w:lang w:val="en-US"/>
        </w:rPr>
        <w:t>Risk Management &amp; Contracting</w:t>
      </w:r>
      <w:r>
        <w:rPr>
          <w:lang w:val="en-US"/>
        </w:rPr>
        <w:tab/>
      </w:r>
      <w:r>
        <w:rPr>
          <w:lang w:val="en-US"/>
        </w:rPr>
        <w:t>23</w:t>
      </w:r>
    </w:p>
    <w:p w14:paraId="6146F3CD">
      <w:pPr>
        <w:pStyle w:val="19"/>
        <w:rPr>
          <w:lang w:val="en-US" w:eastAsia="zh-CN"/>
        </w:rPr>
      </w:pPr>
      <w:r>
        <w:rPr>
          <w:lang w:val="en-US"/>
        </w:rPr>
        <w:t>Monitoring, Reporting and Evaluation</w:t>
      </w:r>
      <w:r>
        <w:rPr>
          <w:lang w:val="en-US"/>
        </w:rPr>
        <w:tab/>
      </w:r>
      <w:r>
        <w:rPr>
          <w:lang w:val="en-US"/>
        </w:rPr>
        <w:t>23</w:t>
      </w:r>
    </w:p>
    <w:p w14:paraId="7A03EE97">
      <w:pPr>
        <w:pStyle w:val="19"/>
        <w:rPr>
          <w:lang w:val="en-US" w:eastAsia="zh-CN"/>
        </w:rPr>
      </w:pPr>
      <w:r>
        <w:rPr>
          <w:lang w:val="en-US"/>
        </w:rPr>
        <w:t>Capacity Building and Knowledge Management</w:t>
      </w:r>
      <w:r>
        <w:rPr>
          <w:lang w:val="en-US"/>
        </w:rPr>
        <w:tab/>
      </w:r>
      <w:r>
        <w:rPr>
          <w:lang w:val="en-US"/>
        </w:rPr>
        <w:t>23</w:t>
      </w:r>
    </w:p>
    <w:p w14:paraId="03E4FF03">
      <w:pPr>
        <w:pStyle w:val="19"/>
        <w:rPr>
          <w:lang w:val="en-US" w:eastAsia="zh-CN"/>
        </w:rPr>
      </w:pPr>
      <w:r>
        <w:rPr>
          <w:lang w:val="en-US"/>
        </w:rPr>
        <w:t>Internal and External Stakeholder Engagement</w:t>
      </w:r>
      <w:r>
        <w:rPr>
          <w:lang w:val="en-US"/>
        </w:rPr>
        <w:tab/>
      </w:r>
      <w:r>
        <w:rPr>
          <w:lang w:val="en-US"/>
        </w:rPr>
        <w:t>24</w:t>
      </w:r>
    </w:p>
    <w:p w14:paraId="0317B5A4">
      <w:pPr>
        <w:pStyle w:val="19"/>
        <w:rPr>
          <w:lang w:val="en-US" w:eastAsia="zh-CN"/>
        </w:rPr>
      </w:pPr>
      <w:r>
        <w:rPr>
          <w:lang w:val="en-US"/>
        </w:rPr>
        <w:t>Continuous Review and Policy Feedback</w:t>
      </w:r>
      <w:r>
        <w:rPr>
          <w:lang w:val="en-US"/>
        </w:rPr>
        <w:tab/>
      </w:r>
      <w:r>
        <w:rPr>
          <w:lang w:val="en-US"/>
        </w:rPr>
        <w:t>24</w:t>
      </w:r>
    </w:p>
    <w:p w14:paraId="3F9FF3C0">
      <w:pPr>
        <w:pStyle w:val="19"/>
        <w:rPr>
          <w:lang w:val="en-US" w:eastAsia="zh-CN"/>
        </w:rPr>
      </w:pPr>
      <w:r>
        <w:rPr>
          <w:lang w:val="en-US"/>
        </w:rPr>
        <w:t>Alumni  Impact  Investing Coordination</w:t>
      </w:r>
      <w:r>
        <w:rPr>
          <w:lang w:val="en-US"/>
        </w:rPr>
        <w:tab/>
      </w:r>
      <w:r>
        <w:rPr>
          <w:lang w:val="en-US"/>
        </w:rPr>
        <w:t>24</w:t>
      </w:r>
    </w:p>
    <w:p w14:paraId="7656D5CE">
      <w:pPr>
        <w:pStyle w:val="19"/>
        <w:rPr>
          <w:lang w:val="en-US" w:eastAsia="zh-CN"/>
        </w:rPr>
      </w:pPr>
      <w:r>
        <w:rPr>
          <w:lang w:val="en-US"/>
        </w:rPr>
        <w:t>Stakeholder Engagement and Communication</w:t>
      </w:r>
      <w:r>
        <w:rPr>
          <w:lang w:val="en-US"/>
        </w:rPr>
        <w:tab/>
      </w:r>
      <w:r>
        <w:rPr>
          <w:lang w:val="en-US"/>
        </w:rPr>
        <w:t>24</w:t>
      </w:r>
    </w:p>
    <w:p w14:paraId="7C55347F">
      <w:pPr>
        <w:pStyle w:val="19"/>
        <w:rPr>
          <w:lang w:val="en-US" w:eastAsia="zh-CN"/>
        </w:rPr>
      </w:pPr>
      <w:r>
        <w:rPr>
          <w:lang w:val="en-US"/>
        </w:rPr>
        <w:t>Accountability and Reporting</w:t>
      </w:r>
      <w:r>
        <w:rPr>
          <w:lang w:val="en-US"/>
        </w:rPr>
        <w:tab/>
      </w:r>
      <w:r>
        <w:rPr>
          <w:lang w:val="en-US"/>
        </w:rPr>
        <w:t>24</w:t>
      </w:r>
    </w:p>
    <w:p w14:paraId="6BCBE54B">
      <w:pPr>
        <w:pStyle w:val="19"/>
        <w:rPr>
          <w:lang w:val="en-US" w:eastAsia="zh-CN"/>
        </w:rPr>
      </w:pPr>
      <w:r>
        <w:rPr>
          <w:lang w:val="en-US"/>
        </w:rPr>
        <w:t>Innovation, Sustainability and Inclusiveness</w:t>
      </w:r>
      <w:r>
        <w:rPr>
          <w:lang w:val="en-US"/>
        </w:rPr>
        <w:tab/>
      </w:r>
      <w:r>
        <w:rPr>
          <w:lang w:val="en-US"/>
        </w:rPr>
        <w:t>25</w:t>
      </w:r>
    </w:p>
    <w:p w14:paraId="08286383">
      <w:pPr>
        <w:pStyle w:val="19"/>
        <w:rPr>
          <w:lang w:val="en-US" w:eastAsia="zh-CN"/>
        </w:rPr>
      </w:pPr>
      <w:r>
        <w:rPr>
          <w:lang w:val="en-US"/>
        </w:rPr>
        <w:t>Project Integration</w:t>
      </w:r>
      <w:r>
        <w:rPr>
          <w:lang w:val="en-US"/>
        </w:rPr>
        <w:tab/>
      </w:r>
      <w:r>
        <w:rPr>
          <w:lang w:val="en-US"/>
        </w:rPr>
        <w:t>25</w:t>
      </w:r>
    </w:p>
    <w:p w14:paraId="107E5669">
      <w:pPr>
        <w:pStyle w:val="19"/>
        <w:rPr>
          <w:lang w:val="en-US" w:eastAsia="zh-CN"/>
        </w:rPr>
      </w:pPr>
      <w:r>
        <w:rPr>
          <w:lang w:val="en-US"/>
        </w:rPr>
        <w:t>Fund Structuring and Management Structure</w:t>
      </w:r>
      <w:r>
        <w:rPr>
          <w:lang w:val="en-US"/>
        </w:rPr>
        <w:tab/>
      </w:r>
      <w:r>
        <w:rPr>
          <w:lang w:val="en-US"/>
        </w:rPr>
        <w:t>25</w:t>
      </w:r>
    </w:p>
    <w:p w14:paraId="59C5A800">
      <w:pPr>
        <w:pStyle w:val="15"/>
        <w:rPr>
          <w:lang w:val="en-US" w:eastAsia="zh-CN"/>
        </w:rPr>
      </w:pPr>
      <w:r>
        <w:rPr>
          <w:lang w:val="en-US"/>
        </w:rPr>
        <w:t>7.0. overview and types of ppp</w:t>
      </w:r>
      <w:r>
        <w:rPr>
          <w:lang w:val="en-US"/>
        </w:rPr>
        <w:tab/>
      </w:r>
      <w:r>
        <w:rPr>
          <w:lang w:val="en-US"/>
        </w:rPr>
        <w:t>27</w:t>
      </w:r>
    </w:p>
    <w:p w14:paraId="0ECAE823">
      <w:pPr>
        <w:pStyle w:val="17"/>
        <w:rPr>
          <w:lang w:val="en-US" w:eastAsia="zh-CN"/>
        </w:rPr>
      </w:pPr>
      <w:r>
        <w:rPr>
          <w:lang w:val="en-US"/>
        </w:rPr>
        <w:t>7.1 Types of PPP UNN Shall Pursue</w:t>
      </w:r>
      <w:r>
        <w:rPr>
          <w:lang w:val="en-US"/>
        </w:rPr>
        <w:tab/>
      </w:r>
      <w:r>
        <w:rPr>
          <w:lang w:val="en-US"/>
        </w:rPr>
        <w:t>27</w:t>
      </w:r>
    </w:p>
    <w:p w14:paraId="19383BEB">
      <w:pPr>
        <w:pStyle w:val="17"/>
        <w:rPr>
          <w:lang w:val="en-US" w:eastAsia="zh-CN"/>
        </w:rPr>
      </w:pPr>
      <w:r>
        <w:rPr>
          <w:lang w:val="en-US"/>
        </w:rPr>
        <w:t>7.2. Operational Models of PPP in UNN</w:t>
      </w:r>
      <w:r>
        <w:rPr>
          <w:lang w:val="en-US"/>
        </w:rPr>
        <w:tab/>
      </w:r>
      <w:r>
        <w:rPr>
          <w:lang w:val="en-US"/>
        </w:rPr>
        <w:t>28</w:t>
      </w:r>
    </w:p>
    <w:p w14:paraId="1D5F5880">
      <w:pPr>
        <w:pStyle w:val="15"/>
        <w:rPr>
          <w:lang w:val="en-US" w:eastAsia="zh-CN"/>
        </w:rPr>
      </w:pPr>
      <w:r>
        <w:rPr>
          <w:lang w:val="en-US"/>
        </w:rPr>
        <w:t>8.0. project selection and development</w:t>
      </w:r>
      <w:r>
        <w:rPr>
          <w:lang w:val="en-US"/>
        </w:rPr>
        <w:tab/>
      </w:r>
      <w:r>
        <w:rPr>
          <w:lang w:val="en-US"/>
        </w:rPr>
        <w:t>29</w:t>
      </w:r>
    </w:p>
    <w:p w14:paraId="6DD2EDD4">
      <w:pPr>
        <w:pStyle w:val="17"/>
        <w:rPr>
          <w:lang w:val="en-US" w:eastAsia="zh-CN"/>
        </w:rPr>
      </w:pPr>
      <w:r>
        <w:rPr>
          <w:lang w:val="en-US"/>
        </w:rPr>
        <w:t>8.1 Identification of the Project Needs in the University</w:t>
      </w:r>
      <w:r>
        <w:rPr>
          <w:lang w:val="en-US"/>
        </w:rPr>
        <w:tab/>
      </w:r>
      <w:r>
        <w:rPr>
          <w:lang w:val="en-US"/>
        </w:rPr>
        <w:t>29</w:t>
      </w:r>
    </w:p>
    <w:p w14:paraId="4FFADB38">
      <w:pPr>
        <w:pStyle w:val="17"/>
        <w:rPr>
          <w:lang w:val="en-US" w:eastAsia="zh-CN"/>
        </w:rPr>
      </w:pPr>
      <w:r>
        <w:rPr>
          <w:lang w:val="en-US"/>
        </w:rPr>
        <w:t>8.2. Feasibility Study</w:t>
      </w:r>
      <w:r>
        <w:rPr>
          <w:lang w:val="en-US"/>
        </w:rPr>
        <w:tab/>
      </w:r>
      <w:r>
        <w:rPr>
          <w:lang w:val="en-US"/>
        </w:rPr>
        <w:t>30</w:t>
      </w:r>
    </w:p>
    <w:p w14:paraId="65B8E143">
      <w:pPr>
        <w:pStyle w:val="17"/>
        <w:rPr>
          <w:lang w:val="en-US" w:eastAsia="zh-CN"/>
        </w:rPr>
      </w:pPr>
      <w:r>
        <w:rPr>
          <w:lang w:val="en-US"/>
        </w:rPr>
        <w:t>8.3. Transparent procurement and competitive bidding</w:t>
      </w:r>
      <w:r>
        <w:rPr>
          <w:lang w:val="en-US"/>
        </w:rPr>
        <w:tab/>
      </w:r>
      <w:r>
        <w:rPr>
          <w:lang w:val="en-US"/>
        </w:rPr>
        <w:t>31</w:t>
      </w:r>
    </w:p>
    <w:p w14:paraId="00A6B317">
      <w:pPr>
        <w:pStyle w:val="17"/>
        <w:rPr>
          <w:lang w:val="en-US"/>
        </w:rPr>
      </w:pPr>
      <w:r>
        <w:rPr>
          <w:lang w:val="en-US"/>
        </w:rPr>
        <w:t>8.3.1.  University’s Contracting procedure</w:t>
      </w:r>
      <w:r>
        <w:rPr>
          <w:lang w:val="en-US"/>
        </w:rPr>
        <w:tab/>
      </w:r>
      <w:r>
        <w:rPr>
          <w:lang w:val="en-US"/>
        </w:rPr>
        <w:t>32</w:t>
      </w:r>
    </w:p>
    <w:p w14:paraId="1631347A">
      <w:pPr>
        <w:pStyle w:val="18"/>
        <w:rPr>
          <w:sz w:val="20"/>
          <w:szCs w:val="20"/>
          <w:lang w:val="en-US" w:eastAsia="zh-CN"/>
        </w:rPr>
      </w:pPr>
      <w:r>
        <w:rPr>
          <w:lang w:val="en-US" w:eastAsia="zh-CN"/>
        </w:rPr>
        <w:t xml:space="preserve">      </w:t>
      </w:r>
      <w:r>
        <w:rPr>
          <w:sz w:val="20"/>
          <w:szCs w:val="20"/>
          <w:lang w:val="en-US" w:eastAsia="zh-CN"/>
        </w:rPr>
        <w:t xml:space="preserve">   A. Procurement Notice</w:t>
      </w:r>
      <w:r>
        <w:rPr>
          <w:sz w:val="20"/>
          <w:szCs w:val="20"/>
          <w:lang w:val="en-US" w:eastAsia="zh-CN"/>
        </w:rPr>
        <w:tab/>
      </w:r>
      <w:r>
        <w:rPr>
          <w:sz w:val="20"/>
          <w:szCs w:val="20"/>
          <w:lang w:val="en-US" w:eastAsia="zh-CN"/>
        </w:rPr>
        <w:t>32</w:t>
      </w:r>
    </w:p>
    <w:p w14:paraId="78B6EBDC">
      <w:pPr>
        <w:pStyle w:val="18"/>
        <w:rPr>
          <w:sz w:val="20"/>
          <w:szCs w:val="20"/>
          <w:lang w:val="en-US" w:eastAsia="zh-CN"/>
        </w:rPr>
      </w:pPr>
      <w:r>
        <w:rPr>
          <w:sz w:val="20"/>
          <w:szCs w:val="20"/>
          <w:lang w:val="en-US" w:eastAsia="zh-CN"/>
        </w:rPr>
        <w:t xml:space="preserve">            B. Pre-qualification Notice</w:t>
      </w:r>
      <w:r>
        <w:rPr>
          <w:sz w:val="20"/>
          <w:szCs w:val="20"/>
          <w:lang w:val="en-US" w:eastAsia="zh-CN"/>
        </w:rPr>
        <w:tab/>
      </w:r>
      <w:r>
        <w:rPr>
          <w:sz w:val="20"/>
          <w:szCs w:val="20"/>
          <w:lang w:val="en-US" w:eastAsia="zh-CN"/>
        </w:rPr>
        <w:t>32</w:t>
      </w:r>
    </w:p>
    <w:p w14:paraId="1C833D77">
      <w:pPr>
        <w:pStyle w:val="18"/>
        <w:rPr>
          <w:sz w:val="20"/>
          <w:szCs w:val="20"/>
          <w:lang w:val="en-US" w:eastAsia="zh-CN"/>
        </w:rPr>
      </w:pPr>
      <w:r>
        <w:rPr>
          <w:sz w:val="20"/>
          <w:szCs w:val="20"/>
          <w:lang w:val="en-US" w:eastAsia="zh-CN"/>
        </w:rPr>
        <w:t xml:space="preserve">            C. Shortlisting</w:t>
      </w:r>
      <w:r>
        <w:rPr>
          <w:sz w:val="20"/>
          <w:szCs w:val="20"/>
          <w:lang w:val="en-US" w:eastAsia="zh-CN"/>
        </w:rPr>
        <w:tab/>
      </w:r>
      <w:r>
        <w:rPr>
          <w:sz w:val="20"/>
          <w:szCs w:val="20"/>
          <w:lang w:val="en-US" w:eastAsia="zh-CN"/>
        </w:rPr>
        <w:t>33</w:t>
      </w:r>
    </w:p>
    <w:p w14:paraId="71D9B48D">
      <w:pPr>
        <w:pStyle w:val="18"/>
        <w:rPr>
          <w:sz w:val="20"/>
          <w:szCs w:val="20"/>
          <w:lang w:val="en-US" w:eastAsia="zh-CN"/>
        </w:rPr>
      </w:pPr>
      <w:r>
        <w:rPr>
          <w:sz w:val="20"/>
          <w:szCs w:val="20"/>
          <w:lang w:val="en-US" w:eastAsia="zh-CN"/>
        </w:rPr>
        <w:t xml:space="preserve">            D. Invitation to Tender/Selection of Preferred Bidder</w:t>
      </w:r>
      <w:r>
        <w:rPr>
          <w:sz w:val="20"/>
          <w:szCs w:val="20"/>
          <w:lang w:val="en-US" w:eastAsia="zh-CN"/>
        </w:rPr>
        <w:tab/>
      </w:r>
      <w:r>
        <w:rPr>
          <w:sz w:val="20"/>
          <w:szCs w:val="20"/>
          <w:lang w:val="en-US" w:eastAsia="zh-CN"/>
        </w:rPr>
        <w:t>33</w:t>
      </w:r>
    </w:p>
    <w:p w14:paraId="47F07983">
      <w:pPr>
        <w:pStyle w:val="19"/>
        <w:numPr>
          <w:ilvl w:val="2"/>
          <w:numId w:val="1"/>
        </w:numPr>
        <w:rPr>
          <w:lang w:val="en-US"/>
        </w:rPr>
      </w:pPr>
      <w:r>
        <w:rPr>
          <w:lang w:val="en-US"/>
        </w:rPr>
        <w:t>Invitation to Tender/Selection of Preferred Bidder:</w:t>
      </w:r>
      <w:r>
        <w:rPr>
          <w:lang w:val="en-US"/>
        </w:rPr>
        <w:tab/>
      </w:r>
      <w:r>
        <w:rPr>
          <w:lang w:val="en-US"/>
        </w:rPr>
        <w:t>35</w:t>
      </w:r>
    </w:p>
    <w:p w14:paraId="6F726CD4">
      <w:pPr>
        <w:pStyle w:val="19"/>
        <w:numPr>
          <w:ilvl w:val="2"/>
          <w:numId w:val="2"/>
        </w:numPr>
        <w:rPr>
          <w:lang w:val="en-US"/>
        </w:rPr>
      </w:pPr>
      <w:r>
        <w:rPr>
          <w:lang w:val="en-US"/>
        </w:rPr>
        <w:t>Invitation to Tender/Selection of Preferred Bidder:</w:t>
      </w:r>
      <w:r>
        <w:rPr>
          <w:lang w:val="en-US"/>
        </w:rPr>
        <w:tab/>
      </w:r>
      <w:r>
        <w:rPr>
          <w:lang w:val="en-US"/>
        </w:rPr>
        <w:t>35</w:t>
      </w:r>
    </w:p>
    <w:p w14:paraId="13C603D8">
      <w:pPr>
        <w:pStyle w:val="19"/>
        <w:numPr>
          <w:ilvl w:val="2"/>
          <w:numId w:val="3"/>
        </w:numPr>
        <w:rPr>
          <w:lang w:val="en-US"/>
        </w:rPr>
      </w:pPr>
      <w:r>
        <w:rPr>
          <w:lang w:val="en-US"/>
        </w:rPr>
        <w:t>Reach Financial Closure:</w:t>
      </w:r>
      <w:r>
        <w:rPr>
          <w:lang w:val="en-US"/>
        </w:rPr>
        <w:tab/>
      </w:r>
      <w:r>
        <w:rPr>
          <w:lang w:val="en-US"/>
        </w:rPr>
        <w:t>36</w:t>
      </w:r>
    </w:p>
    <w:p w14:paraId="2E8E2E7E">
      <w:pPr>
        <w:pStyle w:val="19"/>
        <w:numPr>
          <w:ilvl w:val="2"/>
          <w:numId w:val="4"/>
        </w:numPr>
        <w:rPr>
          <w:lang w:val="en-US"/>
        </w:rPr>
      </w:pPr>
      <w:r>
        <w:rPr>
          <w:lang w:val="en-US"/>
        </w:rPr>
        <w:t>Confirm Internal Approvals:</w:t>
      </w:r>
      <w:r>
        <w:rPr>
          <w:lang w:val="en-US"/>
        </w:rPr>
        <w:tab/>
      </w:r>
      <w:r>
        <w:rPr>
          <w:lang w:val="en-US"/>
        </w:rPr>
        <w:t>36</w:t>
      </w:r>
    </w:p>
    <w:p w14:paraId="1F9A5405">
      <w:pPr>
        <w:pStyle w:val="19"/>
        <w:numPr>
          <w:ilvl w:val="2"/>
          <w:numId w:val="5"/>
        </w:numPr>
        <w:rPr>
          <w:lang w:val="en-US"/>
        </w:rPr>
      </w:pPr>
      <w:r>
        <w:rPr>
          <w:lang w:val="en-US"/>
        </w:rPr>
        <w:t>Financial Close Checklist:</w:t>
      </w:r>
      <w:r>
        <w:rPr>
          <w:lang w:val="en-US"/>
        </w:rPr>
        <w:tab/>
      </w:r>
      <w:r>
        <w:rPr>
          <w:lang w:val="en-US"/>
        </w:rPr>
        <w:t>37</w:t>
      </w:r>
    </w:p>
    <w:p w14:paraId="7E95F8CA">
      <w:pPr>
        <w:pStyle w:val="19"/>
        <w:numPr>
          <w:ilvl w:val="2"/>
          <w:numId w:val="6"/>
        </w:numPr>
        <w:rPr>
          <w:lang w:val="en-US"/>
        </w:rPr>
      </w:pPr>
      <w:r>
        <w:rPr>
          <w:lang w:val="en-US"/>
        </w:rPr>
        <w:t>Handover Projects Assets/Personnel etc…</w:t>
      </w:r>
      <w:r>
        <w:rPr>
          <w:lang w:val="en-US"/>
        </w:rPr>
        <w:tab/>
      </w:r>
      <w:r>
        <w:rPr>
          <w:lang w:val="en-US"/>
        </w:rPr>
        <w:t>38</w:t>
      </w:r>
    </w:p>
    <w:p w14:paraId="5A764755">
      <w:pPr>
        <w:pStyle w:val="17"/>
        <w:rPr>
          <w:lang w:val="en-US" w:eastAsia="zh-CN"/>
        </w:rPr>
      </w:pPr>
      <w:r>
        <w:rPr>
          <w:lang w:val="en-US"/>
        </w:rPr>
        <w:t>8.4. PPP Project Revenue Sources</w:t>
      </w:r>
      <w:r>
        <w:rPr>
          <w:lang w:val="en-US"/>
        </w:rPr>
        <w:tab/>
      </w:r>
      <w:r>
        <w:rPr>
          <w:lang w:val="en-US"/>
        </w:rPr>
        <w:t>38</w:t>
      </w:r>
    </w:p>
    <w:p w14:paraId="069B5B94">
      <w:pPr>
        <w:pStyle w:val="17"/>
        <w:rPr>
          <w:lang w:val="en-US" w:eastAsia="zh-CN"/>
        </w:rPr>
      </w:pPr>
      <w:r>
        <w:rPr>
          <w:lang w:val="en-US"/>
        </w:rPr>
        <w:t>8.5. Project Life Ceiling and those excluded from PPP Arrangement</w:t>
      </w:r>
      <w:r>
        <w:rPr>
          <w:lang w:val="en-US"/>
        </w:rPr>
        <w:tab/>
      </w:r>
      <w:r>
        <w:rPr>
          <w:lang w:val="en-US"/>
        </w:rPr>
        <w:t>39</w:t>
      </w:r>
    </w:p>
    <w:p w14:paraId="1114EC20">
      <w:pPr>
        <w:pStyle w:val="17"/>
        <w:rPr>
          <w:lang w:val="en-US" w:eastAsia="zh-CN"/>
        </w:rPr>
      </w:pPr>
      <w:r>
        <w:rPr>
          <w:lang w:val="en-US"/>
        </w:rPr>
        <w:t>8.6. University Sectors Suitable for PPPs and Potential Partnership Models</w:t>
      </w:r>
      <w:r>
        <w:rPr>
          <w:lang w:val="en-US"/>
        </w:rPr>
        <w:tab/>
      </w:r>
      <w:r>
        <w:rPr>
          <w:lang w:val="en-US"/>
        </w:rPr>
        <w:t>40</w:t>
      </w:r>
    </w:p>
    <w:p w14:paraId="6AB3334E">
      <w:pPr>
        <w:pStyle w:val="15"/>
        <w:rPr>
          <w:lang w:val="en-US" w:eastAsia="zh-CN"/>
        </w:rPr>
      </w:pPr>
      <w:r>
        <w:rPr>
          <w:lang w:val="en-US"/>
        </w:rPr>
        <w:t>9.0. Risk management and value for money</w:t>
      </w:r>
      <w:r>
        <w:rPr>
          <w:lang w:val="en-US"/>
        </w:rPr>
        <w:tab/>
      </w:r>
      <w:r>
        <w:rPr>
          <w:lang w:val="en-US"/>
        </w:rPr>
        <w:t>44</w:t>
      </w:r>
    </w:p>
    <w:p w14:paraId="77C43390">
      <w:pPr>
        <w:pStyle w:val="17"/>
        <w:rPr>
          <w:lang w:val="en-US" w:eastAsia="zh-CN"/>
        </w:rPr>
      </w:pPr>
      <w:r>
        <w:rPr>
          <w:lang w:val="da-DK"/>
        </w:rPr>
        <w:t>9.1. Risk division</w:t>
      </w:r>
      <w:r>
        <w:rPr>
          <w:lang w:val="da-DK"/>
        </w:rPr>
        <w:tab/>
      </w:r>
      <w:r>
        <w:rPr>
          <w:lang w:val="en-US"/>
        </w:rPr>
        <w:t>45</w:t>
      </w:r>
    </w:p>
    <w:p w14:paraId="3CFB21A9">
      <w:pPr>
        <w:pStyle w:val="17"/>
        <w:rPr>
          <w:lang w:val="en-US" w:eastAsia="zh-CN"/>
        </w:rPr>
      </w:pPr>
      <w:r>
        <w:rPr>
          <w:lang w:val="en-US"/>
        </w:rPr>
        <w:t>9.2 Value for Money</w:t>
      </w:r>
      <w:r>
        <w:rPr>
          <w:lang w:val="en-US"/>
        </w:rPr>
        <w:tab/>
      </w:r>
      <w:r>
        <w:rPr>
          <w:lang w:val="en-US"/>
        </w:rPr>
        <w:t>45</w:t>
      </w:r>
    </w:p>
    <w:p w14:paraId="09471E19">
      <w:pPr>
        <w:pStyle w:val="19"/>
        <w:rPr>
          <w:lang w:val="en-US" w:eastAsia="zh-CN"/>
        </w:rPr>
      </w:pPr>
      <w:r>
        <w:rPr>
          <w:lang w:val="it-IT"/>
        </w:rPr>
        <w:t>9.2.1 Applicability</w:t>
      </w:r>
      <w:r>
        <w:rPr>
          <w:lang w:val="it-IT"/>
        </w:rPr>
        <w:tab/>
      </w:r>
      <w:r>
        <w:rPr>
          <w:lang w:val="en-US"/>
        </w:rPr>
        <w:t>44</w:t>
      </w:r>
    </w:p>
    <w:p w14:paraId="085A666C">
      <w:pPr>
        <w:pStyle w:val="17"/>
        <w:rPr>
          <w:lang w:val="en-US" w:eastAsia="zh-CN"/>
        </w:rPr>
      </w:pPr>
      <w:r>
        <w:rPr>
          <w:lang w:val="it-IT"/>
        </w:rPr>
        <w:t>9.2.2 General Principles</w:t>
      </w:r>
      <w:r>
        <w:rPr>
          <w:lang w:val="it-IT"/>
        </w:rPr>
        <w:tab/>
      </w:r>
      <w:r>
        <w:rPr>
          <w:lang w:val="en-US"/>
        </w:rPr>
        <w:t>45</w:t>
      </w:r>
    </w:p>
    <w:p w14:paraId="0F17FFB3">
      <w:pPr>
        <w:pStyle w:val="15"/>
        <w:rPr>
          <w:lang w:val="en-US" w:eastAsia="zh-CN"/>
        </w:rPr>
      </w:pPr>
      <w:r>
        <w:rPr>
          <w:lang w:val="en-US"/>
        </w:rPr>
        <w:t>10.0. contract management framework</w:t>
      </w:r>
      <w:r>
        <w:rPr>
          <w:lang w:val="en-US"/>
        </w:rPr>
        <w:tab/>
      </w:r>
      <w:r>
        <w:rPr>
          <w:lang w:val="en-US"/>
        </w:rPr>
        <w:t>48</w:t>
      </w:r>
    </w:p>
    <w:p w14:paraId="26B92DED">
      <w:pPr>
        <w:pStyle w:val="17"/>
        <w:rPr>
          <w:lang w:val="en-US" w:eastAsia="zh-CN"/>
        </w:rPr>
      </w:pPr>
      <w:r>
        <w:rPr>
          <w:lang w:val="en-US"/>
        </w:rPr>
        <w:t>10.1. PPP Contract Renegotiation</w:t>
      </w:r>
      <w:r>
        <w:rPr>
          <w:lang w:val="en-US"/>
        </w:rPr>
        <w:tab/>
      </w:r>
      <w:r>
        <w:rPr>
          <w:lang w:val="en-US"/>
        </w:rPr>
        <w:t>48</w:t>
      </w:r>
    </w:p>
    <w:p w14:paraId="2923A3E8">
      <w:pPr>
        <w:pStyle w:val="17"/>
        <w:rPr>
          <w:lang w:val="en-US" w:eastAsia="zh-CN"/>
        </w:rPr>
      </w:pPr>
      <w:r>
        <w:rPr>
          <w:lang w:val="en-US"/>
        </w:rPr>
        <w:t>10.2. PPP Project modifications</w:t>
      </w:r>
      <w:r>
        <w:rPr>
          <w:lang w:val="en-US"/>
        </w:rPr>
        <w:tab/>
      </w:r>
      <w:r>
        <w:rPr>
          <w:lang w:val="en-US"/>
        </w:rPr>
        <w:t>49</w:t>
      </w:r>
    </w:p>
    <w:p w14:paraId="5753C7B5">
      <w:pPr>
        <w:pStyle w:val="17"/>
        <w:rPr>
          <w:lang w:val="en-US" w:eastAsia="zh-CN"/>
        </w:rPr>
      </w:pPr>
      <w:r>
        <w:rPr>
          <w:lang w:val="it-IT"/>
        </w:rPr>
        <w:t>10.2. No Compete Clause</w:t>
      </w:r>
      <w:r>
        <w:rPr>
          <w:lang w:val="it-IT"/>
        </w:rPr>
        <w:tab/>
      </w:r>
      <w:r>
        <w:rPr>
          <w:lang w:val="en-US"/>
        </w:rPr>
        <w:t>50</w:t>
      </w:r>
    </w:p>
    <w:p w14:paraId="44214F15">
      <w:pPr>
        <w:pStyle w:val="17"/>
        <w:rPr>
          <w:lang w:val="en-US" w:eastAsia="zh-CN"/>
        </w:rPr>
      </w:pPr>
      <w:r>
        <w:rPr>
          <w:lang w:val="en-US"/>
        </w:rPr>
        <w:t>10.4. Project Life Ceiling and those excluded from PPP Arrangement</w:t>
      </w:r>
      <w:r>
        <w:rPr>
          <w:lang w:val="en-US"/>
        </w:rPr>
        <w:tab/>
      </w:r>
      <w:r>
        <w:rPr>
          <w:lang w:val="en-US"/>
        </w:rPr>
        <w:t>50</w:t>
      </w:r>
    </w:p>
    <w:p w14:paraId="4CE3BAC9">
      <w:pPr>
        <w:pStyle w:val="17"/>
        <w:rPr>
          <w:lang w:val="en-US" w:eastAsia="zh-CN"/>
        </w:rPr>
      </w:pPr>
      <w:r>
        <w:t>10.5.  Conflict Resolution</w:t>
      </w:r>
      <w:r>
        <w:tab/>
      </w:r>
      <w:r>
        <w:rPr>
          <w:lang w:val="en-US"/>
        </w:rPr>
        <w:t>50</w:t>
      </w:r>
    </w:p>
    <w:p w14:paraId="578188E9">
      <w:pPr>
        <w:pStyle w:val="17"/>
        <w:rPr>
          <w:lang w:val="en-US" w:eastAsia="zh-CN"/>
        </w:rPr>
      </w:pPr>
      <w:r>
        <w:rPr>
          <w:lang w:val="en-US"/>
        </w:rPr>
        <w:t>10.6. Right of complaints</w:t>
      </w:r>
      <w:r>
        <w:rPr>
          <w:lang w:val="en-US"/>
        </w:rPr>
        <w:tab/>
      </w:r>
      <w:r>
        <w:rPr>
          <w:lang w:val="en-US"/>
        </w:rPr>
        <w:t>51</w:t>
      </w:r>
    </w:p>
    <w:p w14:paraId="1F6E2EF5">
      <w:pPr>
        <w:pStyle w:val="17"/>
        <w:rPr>
          <w:lang w:val="en-US" w:eastAsia="zh-CN"/>
        </w:rPr>
      </w:pPr>
      <w:r>
        <w:rPr>
          <w:lang w:val="en-US"/>
        </w:rPr>
        <w:t>10.7. Hand Back PPP Project</w:t>
      </w:r>
      <w:r>
        <w:rPr>
          <w:lang w:val="en-US"/>
        </w:rPr>
        <w:tab/>
      </w:r>
      <w:r>
        <w:rPr>
          <w:lang w:val="en-US"/>
        </w:rPr>
        <w:t>52</w:t>
      </w:r>
    </w:p>
    <w:p w14:paraId="610C3E73">
      <w:pPr>
        <w:pStyle w:val="17"/>
        <w:rPr>
          <w:lang w:val="en-US" w:eastAsia="zh-CN"/>
        </w:rPr>
      </w:pPr>
      <w:r>
        <w:rPr>
          <w:lang w:val="en-US"/>
        </w:rPr>
        <w:t>10.8. Exit/Clause Termination Payment</w:t>
      </w:r>
      <w:r>
        <w:rPr>
          <w:lang w:val="en-US"/>
        </w:rPr>
        <w:tab/>
      </w:r>
      <w:r>
        <w:rPr>
          <w:lang w:val="en-US"/>
        </w:rPr>
        <w:t>54</w:t>
      </w:r>
    </w:p>
    <w:p w14:paraId="2DC4ACA0">
      <w:pPr>
        <w:pStyle w:val="15"/>
        <w:rPr>
          <w:lang w:val="en-US" w:eastAsia="zh-CN"/>
        </w:rPr>
      </w:pPr>
      <w:r>
        <w:rPr>
          <w:lang w:val="en-US"/>
        </w:rPr>
        <w:t>11.0. monitoring, evaluation and reporting</w:t>
      </w:r>
      <w:r>
        <w:rPr>
          <w:lang w:val="en-US"/>
        </w:rPr>
        <w:tab/>
      </w:r>
      <w:r>
        <w:rPr>
          <w:lang w:val="en-US"/>
        </w:rPr>
        <w:t>56</w:t>
      </w:r>
    </w:p>
    <w:p w14:paraId="6D1F50B6">
      <w:pPr>
        <w:pStyle w:val="17"/>
        <w:rPr>
          <w:lang w:val="en-US" w:eastAsia="zh-CN"/>
        </w:rPr>
      </w:pPr>
      <w:r>
        <w:rPr>
          <w:lang w:val="en-US"/>
        </w:rPr>
        <w:t>11.1. Purpose and Scope</w:t>
      </w:r>
      <w:r>
        <w:rPr>
          <w:lang w:val="en-US"/>
        </w:rPr>
        <w:tab/>
      </w:r>
      <w:r>
        <w:rPr>
          <w:lang w:val="en-US"/>
        </w:rPr>
        <w:t>56</w:t>
      </w:r>
    </w:p>
    <w:p w14:paraId="6568471B">
      <w:pPr>
        <w:pStyle w:val="17"/>
        <w:rPr>
          <w:lang w:val="en-US" w:eastAsia="zh-CN"/>
        </w:rPr>
      </w:pPr>
      <w:r>
        <w:t>11.2. Monitoring Framework</w:t>
      </w:r>
      <w:r>
        <w:tab/>
      </w:r>
      <w:r>
        <w:rPr>
          <w:lang w:val="en-US"/>
        </w:rPr>
        <w:t>56</w:t>
      </w:r>
    </w:p>
    <w:p w14:paraId="6C7CD3B6">
      <w:pPr>
        <w:pStyle w:val="17"/>
        <w:rPr>
          <w:lang w:val="en-US" w:eastAsia="zh-CN"/>
        </w:rPr>
      </w:pPr>
      <w:r>
        <w:rPr>
          <w:lang w:val="en-US"/>
        </w:rPr>
        <w:t>11.3. Evaluation Framework</w:t>
      </w:r>
      <w:r>
        <w:rPr>
          <w:lang w:val="en-US"/>
        </w:rPr>
        <w:tab/>
      </w:r>
      <w:r>
        <w:rPr>
          <w:lang w:val="en-US"/>
        </w:rPr>
        <w:t>58</w:t>
      </w:r>
    </w:p>
    <w:p w14:paraId="0BD2E575">
      <w:pPr>
        <w:pStyle w:val="17"/>
        <w:rPr>
          <w:lang w:val="en-US" w:eastAsia="zh-CN"/>
        </w:rPr>
      </w:pPr>
      <w:r>
        <w:rPr>
          <w:lang w:val="en-US"/>
        </w:rPr>
        <w:t>11.4. Data Collection and Management</w:t>
      </w:r>
      <w:r>
        <w:rPr>
          <w:lang w:val="en-US"/>
        </w:rPr>
        <w:tab/>
      </w:r>
      <w:r>
        <w:rPr>
          <w:lang w:val="en-US"/>
        </w:rPr>
        <w:t>59</w:t>
      </w:r>
    </w:p>
    <w:p w14:paraId="34B9620B">
      <w:pPr>
        <w:pStyle w:val="17"/>
        <w:rPr>
          <w:lang w:val="en-US" w:eastAsia="zh-CN"/>
        </w:rPr>
      </w:pPr>
      <w:r>
        <w:rPr>
          <w:lang w:val="en-US"/>
        </w:rPr>
        <w:t>11.4. Reviews and Communication</w:t>
      </w:r>
      <w:r>
        <w:rPr>
          <w:lang w:val="en-US"/>
        </w:rPr>
        <w:tab/>
      </w:r>
      <w:r>
        <w:rPr>
          <w:lang w:val="en-US"/>
        </w:rPr>
        <w:t>60</w:t>
      </w:r>
    </w:p>
    <w:p w14:paraId="46F2FDBD">
      <w:pPr>
        <w:pStyle w:val="15"/>
        <w:rPr>
          <w:lang w:val="en-US" w:eastAsia="zh-CN"/>
        </w:rPr>
      </w:pPr>
      <w:r>
        <w:rPr>
          <w:lang w:val="en-US"/>
        </w:rPr>
        <w:t>12.0. Summary and next steps</w:t>
      </w:r>
      <w:r>
        <w:rPr>
          <w:lang w:val="en-US"/>
        </w:rPr>
        <w:tab/>
      </w:r>
      <w:r>
        <w:rPr>
          <w:lang w:val="en-US"/>
        </w:rPr>
        <w:t>63</w:t>
      </w:r>
    </w:p>
    <w:p w14:paraId="72FD08E9">
      <w:pPr>
        <w:pStyle w:val="17"/>
        <w:rPr>
          <w:lang w:val="en-US" w:eastAsia="zh-CN"/>
        </w:rPr>
      </w:pPr>
      <w:r>
        <w:rPr>
          <w:lang w:val="en-US"/>
        </w:rPr>
        <w:t>12.1 Summary of PPP Policy Guideline</w:t>
      </w:r>
      <w:r>
        <w:rPr>
          <w:lang w:val="en-US"/>
        </w:rPr>
        <w:tab/>
      </w:r>
      <w:r>
        <w:rPr>
          <w:lang w:val="en-US"/>
        </w:rPr>
        <w:t>63</w:t>
      </w:r>
    </w:p>
    <w:p w14:paraId="704BB6E5">
      <w:pPr>
        <w:pStyle w:val="15"/>
      </w:pPr>
      <w:r>
        <w:rPr>
          <w:lang w:val="de-DE"/>
        </w:rPr>
        <w:t>ANNEXES</w:t>
      </w:r>
      <w:r>
        <w:rPr>
          <w:lang w:val="de-DE"/>
        </w:rPr>
        <w:tab/>
      </w:r>
      <w:r>
        <w:fldChar w:fldCharType="begin"/>
      </w:r>
      <w:r>
        <w:instrText xml:space="preserve"> PAGEREF _Toc89 \h </w:instrText>
      </w:r>
      <w:r>
        <w:fldChar w:fldCharType="separate"/>
      </w:r>
      <w:r>
        <w:t>67</w:t>
      </w:r>
      <w:r>
        <w:fldChar w:fldCharType="end"/>
      </w:r>
    </w:p>
    <w:p w14:paraId="23B470BF">
      <w:pPr>
        <w:pStyle w:val="15"/>
      </w:pPr>
      <w:r>
        <w:rPr>
          <w:lang w:val="de-DE"/>
        </w:rPr>
        <w:t>ANNEXES A: PPP OPPORTUNITIES IN UNN</w:t>
      </w:r>
      <w:r>
        <w:rPr>
          <w:lang w:val="de-DE"/>
        </w:rPr>
        <w:tab/>
      </w:r>
      <w:r>
        <w:fldChar w:fldCharType="begin"/>
      </w:r>
      <w:r>
        <w:instrText xml:space="preserve"> PAGEREF _Toc90 \h </w:instrText>
      </w:r>
      <w:r>
        <w:fldChar w:fldCharType="separate"/>
      </w:r>
      <w:r>
        <w:t>68</w:t>
      </w:r>
      <w:r>
        <w:fldChar w:fldCharType="end"/>
      </w:r>
    </w:p>
    <w:p w14:paraId="5C56051C">
      <w:pPr>
        <w:pStyle w:val="19"/>
      </w:pPr>
      <w:r>
        <w:rPr>
          <w:lang w:val="de-DE"/>
        </w:rPr>
        <w:t>1. Student Hostels</w:t>
      </w:r>
      <w:r>
        <w:rPr>
          <w:lang w:val="de-DE"/>
        </w:rPr>
        <w:tab/>
      </w:r>
      <w:r>
        <w:fldChar w:fldCharType="begin"/>
      </w:r>
      <w:r>
        <w:instrText xml:space="preserve"> PAGEREF _Toc91 \h </w:instrText>
      </w:r>
      <w:r>
        <w:fldChar w:fldCharType="separate"/>
      </w:r>
      <w:r>
        <w:t>68</w:t>
      </w:r>
      <w:r>
        <w:fldChar w:fldCharType="end"/>
      </w:r>
    </w:p>
    <w:p w14:paraId="6B0EE613">
      <w:pPr>
        <w:pStyle w:val="17"/>
      </w:pPr>
      <w:r>
        <w:rPr>
          <w:lang w:val="de-DE"/>
        </w:rPr>
        <w:t>Table 2: Hostels in Enugu Campus</w:t>
      </w:r>
      <w:r>
        <w:rPr>
          <w:lang w:val="de-DE"/>
        </w:rPr>
        <w:tab/>
      </w:r>
      <w:r>
        <w:fldChar w:fldCharType="begin"/>
      </w:r>
      <w:r>
        <w:instrText xml:space="preserve"> PAGEREF _Toc92 \h </w:instrText>
      </w:r>
      <w:r>
        <w:fldChar w:fldCharType="separate"/>
      </w:r>
      <w:r>
        <w:t>70</w:t>
      </w:r>
      <w:r>
        <w:fldChar w:fldCharType="end"/>
      </w:r>
    </w:p>
    <w:p w14:paraId="359D5E1D">
      <w:pPr>
        <w:pStyle w:val="17"/>
      </w:pPr>
      <w:r>
        <w:rPr>
          <w:lang w:val="en-US"/>
        </w:rPr>
        <w:t>1. Staff Accommodation</w:t>
      </w:r>
      <w:r>
        <w:rPr>
          <w:lang w:val="en-US"/>
        </w:rPr>
        <w:tab/>
      </w:r>
      <w:r>
        <w:fldChar w:fldCharType="begin"/>
      </w:r>
      <w:r>
        <w:instrText xml:space="preserve"> PAGEREF _Toc93 \h </w:instrText>
      </w:r>
      <w:r>
        <w:fldChar w:fldCharType="separate"/>
      </w:r>
      <w:r>
        <w:t>71</w:t>
      </w:r>
      <w:r>
        <w:fldChar w:fldCharType="end"/>
      </w:r>
    </w:p>
    <w:p w14:paraId="71305812">
      <w:pPr>
        <w:pStyle w:val="17"/>
      </w:pPr>
      <w:r>
        <w:rPr>
          <w:lang w:val="en-US"/>
        </w:rPr>
        <w:t>Table 3 – Staff Housing at Nsukka Campus</w:t>
      </w:r>
      <w:r>
        <w:rPr>
          <w:lang w:val="en-US"/>
        </w:rPr>
        <w:tab/>
      </w:r>
      <w:r>
        <w:fldChar w:fldCharType="begin"/>
      </w:r>
      <w:r>
        <w:instrText xml:space="preserve"> PAGEREF _Toc94 \h </w:instrText>
      </w:r>
      <w:r>
        <w:fldChar w:fldCharType="separate"/>
      </w:r>
      <w:r>
        <w:t>71</w:t>
      </w:r>
      <w:r>
        <w:fldChar w:fldCharType="end"/>
      </w:r>
    </w:p>
    <w:p w14:paraId="66AFAD10">
      <w:pPr>
        <w:pStyle w:val="17"/>
      </w:pPr>
      <w:r>
        <w:rPr>
          <w:lang w:val="en-US"/>
        </w:rPr>
        <w:t>Table 4: Staff Housing in Enugu Campus</w:t>
      </w:r>
      <w:r>
        <w:rPr>
          <w:lang w:val="en-US"/>
        </w:rPr>
        <w:tab/>
      </w:r>
      <w:r>
        <w:fldChar w:fldCharType="begin"/>
      </w:r>
      <w:r>
        <w:instrText xml:space="preserve"> PAGEREF _Toc95 \h </w:instrText>
      </w:r>
      <w:r>
        <w:fldChar w:fldCharType="separate"/>
      </w:r>
      <w:r>
        <w:t>72</w:t>
      </w:r>
      <w:r>
        <w:fldChar w:fldCharType="end"/>
      </w:r>
    </w:p>
    <w:p w14:paraId="7C8F28AF">
      <w:pPr>
        <w:pStyle w:val="17"/>
      </w:pPr>
      <w:r>
        <w:t>HOSPITALITY SECTOR</w:t>
      </w:r>
      <w:r>
        <w:tab/>
      </w:r>
      <w:r>
        <w:fldChar w:fldCharType="begin"/>
      </w:r>
      <w:r>
        <w:instrText xml:space="preserve"> PAGEREF _Toc96 \h </w:instrText>
      </w:r>
      <w:r>
        <w:fldChar w:fldCharType="separate"/>
      </w:r>
      <w:r>
        <w:t>72</w:t>
      </w:r>
      <w:r>
        <w:fldChar w:fldCharType="end"/>
      </w:r>
    </w:p>
    <w:p w14:paraId="1B18B4AB">
      <w:pPr>
        <w:pStyle w:val="17"/>
      </w:pPr>
      <w:r>
        <w:rPr>
          <w:lang w:val="en-US"/>
        </w:rPr>
        <w:t>Table 6. Presidential Lodge Nsukka Campus</w:t>
      </w:r>
      <w:r>
        <w:rPr>
          <w:lang w:val="en-US"/>
        </w:rPr>
        <w:tab/>
      </w:r>
      <w:r>
        <w:fldChar w:fldCharType="begin"/>
      </w:r>
      <w:r>
        <w:instrText xml:space="preserve"> PAGEREF _Toc97 \h </w:instrText>
      </w:r>
      <w:r>
        <w:fldChar w:fldCharType="separate"/>
      </w:r>
      <w:r>
        <w:t>75</w:t>
      </w:r>
      <w:r>
        <w:fldChar w:fldCharType="end"/>
      </w:r>
    </w:p>
    <w:p w14:paraId="1DD7B799">
      <w:pPr>
        <w:pStyle w:val="17"/>
      </w:pPr>
      <w:r>
        <w:t>AGRICULTURE SECTOR</w:t>
      </w:r>
      <w:r>
        <w:tab/>
      </w:r>
      <w:r>
        <w:fldChar w:fldCharType="begin"/>
      </w:r>
      <w:r>
        <w:instrText xml:space="preserve"> PAGEREF _Toc98 \h </w:instrText>
      </w:r>
      <w:r>
        <w:fldChar w:fldCharType="separate"/>
      </w:r>
      <w:r>
        <w:t>76</w:t>
      </w:r>
      <w:r>
        <w:fldChar w:fldCharType="end"/>
      </w:r>
    </w:p>
    <w:p w14:paraId="77AB3A40">
      <w:pPr>
        <w:pStyle w:val="17"/>
      </w:pPr>
      <w:r>
        <w:rPr>
          <w:lang w:val="en-US"/>
        </w:rPr>
        <w:t>Table 7 – AGRICULTURE</w:t>
      </w:r>
      <w:r>
        <w:rPr>
          <w:lang w:val="en-US"/>
        </w:rPr>
        <w:tab/>
      </w:r>
      <w:r>
        <w:fldChar w:fldCharType="begin"/>
      </w:r>
      <w:r>
        <w:instrText xml:space="preserve"> PAGEREF _Toc99 \h </w:instrText>
      </w:r>
      <w:r>
        <w:fldChar w:fldCharType="separate"/>
      </w:r>
      <w:r>
        <w:t>76</w:t>
      </w:r>
      <w:r>
        <w:fldChar w:fldCharType="end"/>
      </w:r>
    </w:p>
    <w:p w14:paraId="7EE6A900">
      <w:pPr>
        <w:pStyle w:val="17"/>
      </w:pPr>
      <w:r>
        <w:rPr>
          <w:lang w:val="de-DE"/>
        </w:rPr>
        <w:t>HEALTH SECTOR</w:t>
      </w:r>
      <w:r>
        <w:rPr>
          <w:lang w:val="de-DE"/>
        </w:rPr>
        <w:tab/>
      </w:r>
      <w:r>
        <w:fldChar w:fldCharType="begin"/>
      </w:r>
      <w:r>
        <w:instrText xml:space="preserve"> PAGEREF _Toc100 \h </w:instrText>
      </w:r>
      <w:r>
        <w:fldChar w:fldCharType="separate"/>
      </w:r>
      <w:r>
        <w:t>77</w:t>
      </w:r>
      <w:r>
        <w:fldChar w:fldCharType="end"/>
      </w:r>
    </w:p>
    <w:p w14:paraId="71EE59A9">
      <w:pPr>
        <w:pStyle w:val="17"/>
      </w:pPr>
      <w:r>
        <w:rPr>
          <w:lang w:val="en-US"/>
        </w:rPr>
        <w:t>Table 9 – UNN Medical Centers</w:t>
      </w:r>
      <w:r>
        <w:rPr>
          <w:lang w:val="en-US"/>
        </w:rPr>
        <w:tab/>
      </w:r>
      <w:r>
        <w:fldChar w:fldCharType="begin"/>
      </w:r>
      <w:r>
        <w:instrText xml:space="preserve"> PAGEREF _Toc101 \h </w:instrText>
      </w:r>
      <w:r>
        <w:fldChar w:fldCharType="separate"/>
      </w:r>
      <w:r>
        <w:t>77</w:t>
      </w:r>
      <w:r>
        <w:fldChar w:fldCharType="end"/>
      </w:r>
    </w:p>
    <w:p w14:paraId="5FF2A18D">
      <w:pPr>
        <w:pStyle w:val="15"/>
      </w:pPr>
      <w:r>
        <w:rPr>
          <w:lang w:val="en-US"/>
        </w:rPr>
        <w:t>ANNEXES B: SOURCES OF PPP FINANCING</w:t>
      </w:r>
      <w:r>
        <w:rPr>
          <w:lang w:val="en-US"/>
        </w:rPr>
        <w:tab/>
      </w:r>
      <w:r>
        <w:fldChar w:fldCharType="begin"/>
      </w:r>
      <w:r>
        <w:instrText xml:space="preserve"> PAGEREF _Toc102 \h </w:instrText>
      </w:r>
      <w:r>
        <w:fldChar w:fldCharType="separate"/>
      </w:r>
      <w:r>
        <w:t>78</w:t>
      </w:r>
      <w:r>
        <w:fldChar w:fldCharType="end"/>
      </w:r>
    </w:p>
    <w:p w14:paraId="7A2C937B">
      <w:pPr>
        <w:pStyle w:val="15"/>
      </w:pPr>
      <w:r>
        <w:rPr>
          <w:lang w:val="en-US"/>
        </w:rPr>
        <w:t>Annexes III: MONITORING AND EVALUATION FRAMEWORK FOR PUBLIC-PRIVATE PARTNERSHIP INITIATIVES IN UNIVERSITY OF NIGERIA PROJECTS</w:t>
      </w:r>
      <w:r>
        <w:rPr>
          <w:lang w:val="en-US"/>
        </w:rPr>
        <w:tab/>
      </w:r>
      <w:r>
        <w:fldChar w:fldCharType="begin"/>
      </w:r>
      <w:r>
        <w:instrText xml:space="preserve"> PAGEREF _Toc103 \h </w:instrText>
      </w:r>
      <w:r>
        <w:fldChar w:fldCharType="separate"/>
      </w:r>
      <w:r>
        <w:t>83</w:t>
      </w:r>
      <w:r>
        <w:fldChar w:fldCharType="end"/>
      </w:r>
    </w:p>
    <w:p w14:paraId="1B22E027">
      <w:pPr>
        <w:pStyle w:val="17"/>
      </w:pPr>
      <w:r>
        <w:rPr>
          <w:lang w:val="en-US"/>
        </w:rPr>
        <w:t>Key Benefits of the Framework</w:t>
      </w:r>
      <w:r>
        <w:rPr>
          <w:lang w:val="en-US"/>
        </w:rPr>
        <w:tab/>
      </w:r>
      <w:r>
        <w:fldChar w:fldCharType="begin"/>
      </w:r>
      <w:r>
        <w:instrText xml:space="preserve"> PAGEREF _Toc104 \h </w:instrText>
      </w:r>
      <w:r>
        <w:fldChar w:fldCharType="separate"/>
      </w:r>
      <w:r>
        <w:t>85</w:t>
      </w:r>
      <w:r>
        <w:fldChar w:fldCharType="end"/>
      </w:r>
    </w:p>
    <w:p w14:paraId="23FE056C">
      <w:pPr>
        <w:pStyle w:val="17"/>
      </w:pPr>
      <w:r>
        <w:rPr>
          <w:lang w:val="en-US"/>
        </w:rPr>
        <w:t>PART 2: MONITORING AND EVALUATION PLAN</w:t>
      </w:r>
      <w:r>
        <w:rPr>
          <w:lang w:val="en-US"/>
        </w:rPr>
        <w:tab/>
      </w:r>
      <w:r>
        <w:fldChar w:fldCharType="begin"/>
      </w:r>
      <w:r>
        <w:instrText xml:space="preserve"> PAGEREF _Toc105 \h </w:instrText>
      </w:r>
      <w:r>
        <w:fldChar w:fldCharType="separate"/>
      </w:r>
      <w:r>
        <w:t>86</w:t>
      </w:r>
      <w:r>
        <w:fldChar w:fldCharType="end"/>
      </w:r>
    </w:p>
    <w:p w14:paraId="6322BE20">
      <w:r>
        <w:rPr>
          <w:rFonts w:ascii="Helvetica Neue" w:hAnsi="Helvetica Neue" w:eastAsia="Helvetica Neue" w:cs="Helvetica Neue"/>
          <w:b/>
          <w:bCs/>
          <w:color w:val="000000"/>
        </w:rPr>
        <w:fldChar w:fldCharType="end"/>
      </w:r>
      <w:r>
        <w:rPr>
          <w:rFonts w:ascii="Arial Unicode MS" w:hAnsi="Arial Unicode MS" w:cs="Arial Unicode MS"/>
          <w:color w:val="000000"/>
        </w:rPr>
        <w:br w:type="page"/>
      </w:r>
      <w:bookmarkStart w:id="1" w:name="_Toc"/>
      <w:r>
        <w:rPr>
          <w:rFonts w:ascii="Helvetica Neue" w:hAnsi="Helvetica Neue"/>
          <w:b/>
          <w:bCs/>
          <w:color w:val="000000"/>
        </w:rPr>
        <w:t>1.0. Executive Summary</w:t>
      </w:r>
      <w:bookmarkEnd w:id="1"/>
    </w:p>
    <w:p w14:paraId="46E4ACD0">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4DC68393">
      <w:pPr>
        <w:pStyle w:val="3"/>
        <w:spacing w:line="360" w:lineRule="auto"/>
        <w:jc w:val="both"/>
        <w:rPr>
          <w:sz w:val="24"/>
          <w:szCs w:val="24"/>
        </w:rPr>
      </w:pPr>
      <w:r>
        <w:rPr>
          <w:sz w:val="24"/>
          <w:szCs w:val="24"/>
          <w:lang w:val="en-US"/>
        </w:rPr>
        <w:t xml:space="preserve">The Public-Private Partnership Policy provides a structured framework through which the University of Nigeria will partner with the private sector organisations for financial mobilisation, technical assistance, concession of IGR entities, service delivery enhancement, and strengthening of institutional capacity. </w:t>
      </w:r>
    </w:p>
    <w:p w14:paraId="53B27A57">
      <w:pPr>
        <w:pStyle w:val="2"/>
        <w:jc w:val="both"/>
      </w:pPr>
    </w:p>
    <w:p w14:paraId="010C3094">
      <w:pPr>
        <w:pStyle w:val="2"/>
        <w:spacing w:line="360" w:lineRule="auto"/>
        <w:jc w:val="both"/>
        <w:rPr>
          <w:color w:val="000000"/>
          <w:sz w:val="28"/>
          <w:szCs w:val="28"/>
        </w:rPr>
      </w:pPr>
      <w:bookmarkStart w:id="2" w:name="_Toc1"/>
      <w:r>
        <w:rPr>
          <w:color w:val="000000"/>
          <w:sz w:val="28"/>
          <w:szCs w:val="28"/>
          <w:lang w:val="en-US"/>
        </w:rPr>
        <w:t xml:space="preserve">1.1 </w:t>
      </w:r>
      <w:r>
        <w:rPr>
          <w:color w:val="000000"/>
          <w:sz w:val="28"/>
          <w:szCs w:val="28"/>
          <w:lang w:val="fr-FR"/>
        </w:rPr>
        <w:t>Objective</w:t>
      </w:r>
      <w:r>
        <w:rPr>
          <w:color w:val="000000"/>
          <w:sz w:val="28"/>
          <w:szCs w:val="28"/>
          <w:lang w:val="en-US"/>
        </w:rPr>
        <w:t>s</w:t>
      </w:r>
      <w:bookmarkEnd w:id="2"/>
    </w:p>
    <w:p w14:paraId="07A5D6A4">
      <w:pPr>
        <w:pStyle w:val="3"/>
        <w:numPr>
          <w:ilvl w:val="1"/>
          <w:numId w:val="7"/>
        </w:numPr>
        <w:spacing w:line="360" w:lineRule="auto"/>
        <w:jc w:val="both"/>
        <w:rPr>
          <w:sz w:val="24"/>
          <w:szCs w:val="24"/>
          <w:lang w:val="fr-FR"/>
        </w:rPr>
      </w:pPr>
      <w:r>
        <w:rPr>
          <w:sz w:val="24"/>
          <w:szCs w:val="24"/>
          <w:lang w:val="en-US"/>
        </w:rPr>
        <w:t>Leverage private sector expertise and financing to modernise and expand the University’s infrastructure capacity and bridge funding and infrastructure gaps.</w:t>
      </w:r>
      <w:r>
        <w:rPr>
          <w:sz w:val="24"/>
          <w:szCs w:val="24"/>
          <w:lang w:val="fr-FR"/>
        </w:rPr>
        <w:t xml:space="preserve"> </w:t>
      </w:r>
    </w:p>
    <w:p w14:paraId="00280E59">
      <w:pPr>
        <w:pStyle w:val="3"/>
        <w:numPr>
          <w:ilvl w:val="1"/>
          <w:numId w:val="7"/>
        </w:numPr>
        <w:spacing w:line="360" w:lineRule="auto"/>
        <w:jc w:val="both"/>
        <w:rPr>
          <w:sz w:val="24"/>
          <w:szCs w:val="24"/>
          <w:lang w:val="fr-FR"/>
        </w:rPr>
      </w:pPr>
      <w:r>
        <w:rPr>
          <w:sz w:val="24"/>
          <w:szCs w:val="24"/>
          <w:lang w:val="en-US"/>
        </w:rPr>
        <w:t xml:space="preserve">Facilitate the concessioning of IGR entities, such as hospitality and lodging facilities, hostels, and businesses, in the University. </w:t>
      </w:r>
    </w:p>
    <w:p w14:paraId="1BBB2BB9">
      <w:pPr>
        <w:pStyle w:val="3"/>
        <w:numPr>
          <w:ilvl w:val="1"/>
          <w:numId w:val="8"/>
        </w:numPr>
        <w:spacing w:line="360" w:lineRule="auto"/>
        <w:jc w:val="both"/>
        <w:rPr>
          <w:sz w:val="24"/>
          <w:szCs w:val="24"/>
          <w:lang w:val="en-US"/>
        </w:rPr>
      </w:pPr>
      <w:r>
        <w:rPr>
          <w:sz w:val="24"/>
          <w:szCs w:val="24"/>
          <w:lang w:val="en-US"/>
        </w:rPr>
        <w:t xml:space="preserve">Promote efficiency and innovation in the management and development of university facilities, services, and projects and achieve long-term financial viability. </w:t>
      </w:r>
    </w:p>
    <w:p w14:paraId="7689254F">
      <w:pPr>
        <w:pStyle w:val="3"/>
        <w:numPr>
          <w:ilvl w:val="1"/>
          <w:numId w:val="8"/>
        </w:numPr>
        <w:spacing w:line="360" w:lineRule="auto"/>
        <w:jc w:val="both"/>
        <w:rPr>
          <w:sz w:val="24"/>
          <w:szCs w:val="24"/>
          <w:lang w:val="en-US"/>
        </w:rPr>
      </w:pPr>
      <w:r>
        <w:rPr>
          <w:sz w:val="24"/>
          <w:szCs w:val="24"/>
          <w:lang w:val="en-US"/>
        </w:rPr>
        <w:t xml:space="preserve">Enhance service quality and delivery excellence. </w:t>
      </w:r>
    </w:p>
    <w:p w14:paraId="73C1051C">
      <w:pPr>
        <w:pStyle w:val="3"/>
        <w:numPr>
          <w:ilvl w:val="1"/>
          <w:numId w:val="8"/>
        </w:numPr>
        <w:spacing w:line="360" w:lineRule="auto"/>
        <w:jc w:val="both"/>
        <w:rPr>
          <w:sz w:val="24"/>
          <w:szCs w:val="24"/>
          <w:lang w:val="en-US"/>
        </w:rPr>
      </w:pPr>
      <w:r>
        <w:rPr>
          <w:sz w:val="24"/>
          <w:szCs w:val="24"/>
          <w:lang w:val="en-US"/>
        </w:rPr>
        <w:t>Enhance university access, reputation and institutional attractiveness.</w:t>
      </w:r>
    </w:p>
    <w:p w14:paraId="4EEDEBFF">
      <w:pPr>
        <w:pStyle w:val="23"/>
      </w:pPr>
    </w:p>
    <w:p w14:paraId="188373F9">
      <w:pPr>
        <w:pStyle w:val="2"/>
        <w:spacing w:line="360" w:lineRule="auto"/>
        <w:rPr>
          <w:color w:val="000000"/>
          <w:sz w:val="28"/>
          <w:szCs w:val="28"/>
        </w:rPr>
      </w:pPr>
      <w:bookmarkStart w:id="3" w:name="_Toc2"/>
      <w:r>
        <w:rPr>
          <w:color w:val="000000"/>
          <w:sz w:val="28"/>
          <w:szCs w:val="28"/>
          <w:lang w:val="en-US"/>
        </w:rPr>
        <w:t>1.2. Guiding Principles</w:t>
      </w:r>
      <w:bookmarkEnd w:id="3"/>
    </w:p>
    <w:p w14:paraId="0604E53D">
      <w:pPr>
        <w:pStyle w:val="3"/>
        <w:spacing w:line="360" w:lineRule="auto"/>
        <w:rPr>
          <w:sz w:val="24"/>
          <w:szCs w:val="24"/>
        </w:rPr>
      </w:pPr>
      <w:r>
        <w:rPr>
          <w:sz w:val="24"/>
          <w:szCs w:val="24"/>
          <w:lang w:val="en-US"/>
        </w:rPr>
        <w:t>The policy is anchored on the principles of:</w:t>
      </w:r>
    </w:p>
    <w:p w14:paraId="04DAF71B">
      <w:pPr>
        <w:pStyle w:val="3"/>
        <w:numPr>
          <w:ilvl w:val="1"/>
          <w:numId w:val="9"/>
        </w:numPr>
        <w:spacing w:line="360" w:lineRule="auto"/>
        <w:jc w:val="both"/>
        <w:rPr>
          <w:sz w:val="24"/>
          <w:szCs w:val="24"/>
          <w:lang w:val="en-US"/>
        </w:rPr>
      </w:pPr>
      <w:r>
        <w:rPr>
          <w:sz w:val="24"/>
          <w:szCs w:val="24"/>
          <w:lang w:val="en-US"/>
        </w:rPr>
        <w:t>Transparency and Accountability: All the PPP processes will be open, competitive, and subject to due oversight.</w:t>
      </w:r>
    </w:p>
    <w:p w14:paraId="5F468526">
      <w:pPr>
        <w:pStyle w:val="3"/>
        <w:numPr>
          <w:ilvl w:val="1"/>
          <w:numId w:val="9"/>
        </w:numPr>
        <w:spacing w:line="360" w:lineRule="auto"/>
        <w:jc w:val="both"/>
        <w:rPr>
          <w:sz w:val="24"/>
          <w:szCs w:val="24"/>
          <w:lang w:val="en-US"/>
        </w:rPr>
      </w:pPr>
      <w:r>
        <w:rPr>
          <w:sz w:val="24"/>
          <w:szCs w:val="24"/>
          <w:lang w:val="en-US"/>
        </w:rPr>
        <w:t xml:space="preserve">Value for Money: Long-term benefits and cost-effectiveness must be the optimal critical factors in selecting all projects. </w:t>
      </w:r>
    </w:p>
    <w:p w14:paraId="2F6EE171">
      <w:pPr>
        <w:pStyle w:val="3"/>
        <w:numPr>
          <w:ilvl w:val="1"/>
          <w:numId w:val="9"/>
        </w:numPr>
        <w:spacing w:line="360" w:lineRule="auto"/>
        <w:jc w:val="both"/>
        <w:rPr>
          <w:sz w:val="24"/>
          <w:szCs w:val="24"/>
          <w:lang w:val="en-US"/>
        </w:rPr>
      </w:pPr>
      <w:r>
        <w:rPr>
          <w:sz w:val="24"/>
          <w:szCs w:val="24"/>
          <w:lang w:val="en-US"/>
        </w:rPr>
        <w:t>Sustainability: All PPP initiatives will be environmentally, socially, and financially sustainable.</w:t>
      </w:r>
    </w:p>
    <w:p w14:paraId="4BCB6F56">
      <w:pPr>
        <w:pStyle w:val="3"/>
        <w:numPr>
          <w:ilvl w:val="1"/>
          <w:numId w:val="9"/>
        </w:numPr>
        <w:spacing w:line="360" w:lineRule="auto"/>
        <w:jc w:val="both"/>
        <w:rPr>
          <w:sz w:val="24"/>
          <w:szCs w:val="24"/>
          <w:lang w:val="en-US"/>
        </w:rPr>
      </w:pPr>
      <w:r>
        <w:rPr>
          <w:sz w:val="24"/>
          <w:szCs w:val="24"/>
          <w:lang w:val="en-US"/>
        </w:rPr>
        <w:t>Inclusivity: Stakeholder engagement, participation and equitable access to benefits will be ensured.</w:t>
      </w:r>
    </w:p>
    <w:p w14:paraId="567B146D">
      <w:pPr>
        <w:pStyle w:val="3"/>
        <w:numPr>
          <w:ilvl w:val="1"/>
          <w:numId w:val="9"/>
        </w:numPr>
        <w:spacing w:line="360" w:lineRule="auto"/>
        <w:jc w:val="both"/>
        <w:rPr>
          <w:sz w:val="24"/>
          <w:szCs w:val="24"/>
          <w:lang w:val="en-US"/>
        </w:rPr>
      </w:pPr>
      <w:r>
        <w:rPr>
          <w:sz w:val="24"/>
          <w:szCs w:val="24"/>
          <w:lang w:val="en-US"/>
        </w:rPr>
        <w:t>Risk Sharing: Inherent risks associated with PPP projects shall be identified and allowed to be managed by the most competent party(ies).</w:t>
      </w:r>
    </w:p>
    <w:p w14:paraId="4ACB7FCD">
      <w:pPr>
        <w:pStyle w:val="23"/>
      </w:pPr>
    </w:p>
    <w:p w14:paraId="7BF2AC04">
      <w:pPr>
        <w:pStyle w:val="2"/>
        <w:spacing w:line="360" w:lineRule="auto"/>
        <w:rPr>
          <w:color w:val="000000"/>
          <w:sz w:val="28"/>
          <w:szCs w:val="28"/>
        </w:rPr>
      </w:pPr>
      <w:bookmarkStart w:id="4" w:name="_Toc3"/>
      <w:r>
        <w:rPr>
          <w:color w:val="000000"/>
          <w:sz w:val="28"/>
          <w:szCs w:val="28"/>
          <w:lang w:val="en-US"/>
        </w:rPr>
        <w:t>1.3. Framework</w:t>
      </w:r>
      <w:bookmarkEnd w:id="4"/>
    </w:p>
    <w:p w14:paraId="27BE1FC6">
      <w:pPr>
        <w:pStyle w:val="3"/>
        <w:spacing w:line="360" w:lineRule="auto"/>
        <w:jc w:val="both"/>
        <w:rPr>
          <w:sz w:val="24"/>
          <w:szCs w:val="24"/>
        </w:rPr>
      </w:pPr>
      <w:r>
        <w:rPr>
          <w:sz w:val="24"/>
          <w:szCs w:val="24"/>
          <w:lang w:val="en-US"/>
        </w:rPr>
        <w:t>The policy establishes:</w:t>
      </w:r>
    </w:p>
    <w:p w14:paraId="43D5AE3F">
      <w:pPr>
        <w:pStyle w:val="3"/>
        <w:numPr>
          <w:ilvl w:val="1"/>
          <w:numId w:val="10"/>
        </w:numPr>
        <w:spacing w:line="360" w:lineRule="auto"/>
        <w:jc w:val="both"/>
        <w:rPr>
          <w:sz w:val="24"/>
          <w:szCs w:val="24"/>
          <w:lang w:val="en-US"/>
        </w:rPr>
      </w:pPr>
      <w:r>
        <w:rPr>
          <w:sz w:val="24"/>
          <w:szCs w:val="24"/>
          <w:lang w:val="en-US"/>
        </w:rPr>
        <w:t xml:space="preserve">A legal and institutional framework in alignment with the Infrastructure Concession Regulatory Commission (ICRC), other national and international PPP laws, and university guidelines. </w:t>
      </w:r>
    </w:p>
    <w:p w14:paraId="778A6D04">
      <w:pPr>
        <w:pStyle w:val="3"/>
        <w:numPr>
          <w:ilvl w:val="1"/>
          <w:numId w:val="8"/>
        </w:numPr>
        <w:spacing w:line="360" w:lineRule="auto"/>
        <w:jc w:val="both"/>
        <w:rPr>
          <w:sz w:val="24"/>
          <w:szCs w:val="24"/>
          <w:lang w:val="en-US"/>
        </w:rPr>
      </w:pPr>
      <w:r>
        <w:rPr>
          <w:sz w:val="24"/>
          <w:szCs w:val="24"/>
          <w:lang w:val="en-US"/>
        </w:rPr>
        <w:t xml:space="preserve">An organisational framework, including a dedicated PPP Unit, for project identification, procurement, implementation, and oversight. </w:t>
      </w:r>
    </w:p>
    <w:p w14:paraId="14853342">
      <w:pPr>
        <w:pStyle w:val="3"/>
        <w:numPr>
          <w:ilvl w:val="1"/>
          <w:numId w:val="8"/>
        </w:numPr>
        <w:spacing w:line="360" w:lineRule="auto"/>
        <w:jc w:val="both"/>
        <w:rPr>
          <w:sz w:val="24"/>
          <w:szCs w:val="24"/>
          <w:lang w:val="en-US"/>
        </w:rPr>
      </w:pPr>
      <w:r>
        <w:rPr>
          <w:sz w:val="24"/>
          <w:szCs w:val="24"/>
          <w:lang w:val="en-US"/>
        </w:rPr>
        <w:t>Processes for project development, including selection of partners, assessment of risk, and contract management.</w:t>
      </w:r>
    </w:p>
    <w:p w14:paraId="550C27BE">
      <w:pPr>
        <w:pStyle w:val="3"/>
        <w:numPr>
          <w:ilvl w:val="1"/>
          <w:numId w:val="8"/>
        </w:numPr>
        <w:spacing w:line="360" w:lineRule="auto"/>
        <w:jc w:val="both"/>
        <w:rPr>
          <w:sz w:val="24"/>
          <w:szCs w:val="24"/>
          <w:lang w:val="en-US"/>
        </w:rPr>
      </w:pPr>
      <w:r>
        <w:rPr>
          <w:sz w:val="24"/>
          <w:szCs w:val="24"/>
          <w:lang w:val="en-US"/>
        </w:rPr>
        <w:t xml:space="preserve">A monitoring and evaluation mechanism for tracking performance and compliance to ensure they meet agreed standards. </w:t>
      </w:r>
    </w:p>
    <w:p w14:paraId="4E5D89C7">
      <w:pPr>
        <w:pStyle w:val="23"/>
      </w:pPr>
    </w:p>
    <w:p w14:paraId="757B6464">
      <w:pPr>
        <w:pStyle w:val="2"/>
        <w:spacing w:line="360" w:lineRule="auto"/>
        <w:rPr>
          <w:color w:val="000000"/>
          <w:sz w:val="28"/>
          <w:szCs w:val="28"/>
        </w:rPr>
      </w:pPr>
      <w:bookmarkStart w:id="5" w:name="_Toc4"/>
      <w:r>
        <w:rPr>
          <w:color w:val="000000"/>
          <w:sz w:val="28"/>
          <w:szCs w:val="28"/>
          <w:lang w:val="en-US"/>
        </w:rPr>
        <w:t>1.4. Expected Outcomes</w:t>
      </w:r>
      <w:bookmarkEnd w:id="5"/>
    </w:p>
    <w:p w14:paraId="19C74D03">
      <w:pPr>
        <w:pStyle w:val="23"/>
        <w:numPr>
          <w:ilvl w:val="1"/>
          <w:numId w:val="11"/>
        </w:numPr>
        <w:spacing w:line="360" w:lineRule="auto"/>
        <w:rPr>
          <w:sz w:val="24"/>
          <w:szCs w:val="24"/>
          <w:lang w:val="en-US"/>
        </w:rPr>
      </w:pPr>
      <w:r>
        <w:rPr>
          <w:sz w:val="24"/>
          <w:szCs w:val="24"/>
          <w:lang w:val="en-US"/>
        </w:rPr>
        <w:t>Improved services and infrastructure through innovative financing and management models.</w:t>
      </w:r>
    </w:p>
    <w:p w14:paraId="0DE22929">
      <w:pPr>
        <w:pStyle w:val="23"/>
        <w:numPr>
          <w:ilvl w:val="1"/>
          <w:numId w:val="11"/>
        </w:numPr>
        <w:spacing w:line="360" w:lineRule="auto"/>
        <w:rPr>
          <w:sz w:val="24"/>
          <w:szCs w:val="24"/>
          <w:lang w:val="en-US"/>
        </w:rPr>
      </w:pPr>
      <w:r>
        <w:rPr>
          <w:sz w:val="24"/>
          <w:szCs w:val="24"/>
          <w:lang w:val="en-US"/>
        </w:rPr>
        <w:t>Rise in private sector participation in developing university projects and services.</w:t>
      </w:r>
    </w:p>
    <w:p w14:paraId="3851BECB">
      <w:pPr>
        <w:pStyle w:val="23"/>
        <w:numPr>
          <w:ilvl w:val="1"/>
          <w:numId w:val="11"/>
        </w:numPr>
        <w:spacing w:line="360" w:lineRule="auto"/>
        <w:rPr>
          <w:sz w:val="24"/>
          <w:szCs w:val="24"/>
          <w:lang w:val="en-US"/>
        </w:rPr>
      </w:pPr>
      <w:r>
        <w:rPr>
          <w:sz w:val="24"/>
          <w:szCs w:val="24"/>
          <w:lang w:val="en-US"/>
        </w:rPr>
        <w:t xml:space="preserve">Enhanced efficiency, sustainability, and quality of facilities available for students, staff, and the community. </w:t>
      </w:r>
    </w:p>
    <w:p w14:paraId="331154BA">
      <w:pPr>
        <w:pStyle w:val="23"/>
        <w:numPr>
          <w:ilvl w:val="1"/>
          <w:numId w:val="11"/>
        </w:numPr>
        <w:spacing w:line="360" w:lineRule="auto"/>
        <w:rPr>
          <w:sz w:val="24"/>
          <w:szCs w:val="24"/>
          <w:lang w:val="en-US"/>
        </w:rPr>
      </w:pPr>
      <w:r>
        <w:rPr>
          <w:sz w:val="24"/>
          <w:szCs w:val="24"/>
          <w:lang w:val="en-US"/>
        </w:rPr>
        <w:t>Robust governance structures that reinforce the university</w:t>
      </w:r>
      <w:r>
        <w:rPr>
          <w:sz w:val="24"/>
          <w:szCs w:val="24"/>
          <w:rtl/>
        </w:rPr>
        <w:t>’</w:t>
      </w:r>
      <w:r>
        <w:rPr>
          <w:sz w:val="24"/>
          <w:szCs w:val="24"/>
          <w:lang w:val="en-US"/>
        </w:rPr>
        <w:t>s reputation as an accountable, transparent, and forward-looking institution.</w:t>
      </w:r>
    </w:p>
    <w:p w14:paraId="3AEC3B63">
      <w:pPr>
        <w:pStyle w:val="23"/>
        <w:spacing w:line="360" w:lineRule="auto"/>
        <w:rPr>
          <w:sz w:val="24"/>
          <w:szCs w:val="24"/>
        </w:rPr>
      </w:pPr>
    </w:p>
    <w:p w14:paraId="13AF1A50">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r>
        <w:rPr>
          <w:sz w:val="24"/>
          <w:szCs w:val="24"/>
          <w:lang w:val="en-US"/>
        </w:rPr>
        <w:t>This PPP framework serves as a maiden transformative, future-facing model for UNN; it represents a replicable and scalable approach to governance and financing in higher education.</w:t>
      </w:r>
    </w:p>
    <w:p w14:paraId="3F911E45">
      <w:pPr>
        <w:pStyle w:val="3"/>
        <w:rPr>
          <w:lang w:val="en-US"/>
        </w:rPr>
      </w:pPr>
    </w:p>
    <w:p w14:paraId="09214C3C">
      <w:pPr>
        <w:pStyle w:val="3"/>
        <w:rPr>
          <w:lang w:val="en-US"/>
        </w:rPr>
      </w:pPr>
    </w:p>
    <w:p w14:paraId="6711CF6C">
      <w:pPr>
        <w:pStyle w:val="3"/>
        <w:rPr>
          <w:lang w:val="en-US"/>
        </w:rPr>
      </w:pPr>
    </w:p>
    <w:p w14:paraId="3D43012D">
      <w:pPr>
        <w:pStyle w:val="22"/>
        <w:rPr>
          <w:color w:val="535F65"/>
          <w:lang w:val="en-US"/>
        </w:rPr>
      </w:pPr>
    </w:p>
    <w:p w14:paraId="4E90F975">
      <w:pPr>
        <w:pStyle w:val="24"/>
        <w:rPr>
          <w:rFonts w:ascii="Helvetica Neue" w:hAnsi="Helvetica Neue" w:eastAsia="Helvetica Neue" w:cs="Helvetica Neue"/>
          <w:b/>
          <w:bCs/>
          <w:color w:val="000000"/>
        </w:rPr>
      </w:pPr>
      <w:bookmarkStart w:id="6" w:name="_Toc5"/>
      <w:r>
        <w:rPr>
          <w:rFonts w:ascii="Helvetica Neue" w:hAnsi="Helvetica Neue"/>
          <w:b/>
          <w:bCs/>
          <w:color w:val="000000"/>
          <w:lang w:val="en-US"/>
        </w:rPr>
        <w:t>2.0. introduction</w:t>
      </w:r>
      <w:bookmarkEnd w:id="6"/>
    </w:p>
    <w:p w14:paraId="2ABEDCBD">
      <w:pPr>
        <w:pStyle w:val="2"/>
      </w:pPr>
    </w:p>
    <w:p w14:paraId="77271353">
      <w:pPr>
        <w:pStyle w:val="2"/>
        <w:spacing w:line="360" w:lineRule="auto"/>
        <w:rPr>
          <w:color w:val="000000"/>
          <w:sz w:val="28"/>
          <w:szCs w:val="28"/>
        </w:rPr>
      </w:pPr>
      <w:bookmarkStart w:id="7" w:name="_Toc6"/>
      <w:r>
        <w:rPr>
          <w:color w:val="000000"/>
          <w:sz w:val="28"/>
          <w:szCs w:val="28"/>
          <w:lang w:val="en-US"/>
        </w:rPr>
        <w:t>2.1. Background</w:t>
      </w:r>
      <w:bookmarkEnd w:id="7"/>
    </w:p>
    <w:p w14:paraId="311D6119">
      <w:pPr>
        <w:pStyle w:val="3"/>
        <w:spacing w:line="360" w:lineRule="auto"/>
        <w:jc w:val="both"/>
        <w:rPr>
          <w:sz w:val="24"/>
          <w:szCs w:val="24"/>
          <w:lang w:val="en-US"/>
        </w:rPr>
      </w:pPr>
      <w:r>
        <w:rPr>
          <w:sz w:val="24"/>
          <w:szCs w:val="24"/>
          <w:lang w:val="en-US"/>
        </w:rPr>
        <w:t xml:space="preserve">The University of Nigeria Nsukka (UNN) is facing increasing pressure on their mission to provide high-quality, affordable education, and perform world-class research. Reductions in public funding support and concerns about overall affordability present substantial near-term and longer-term budget challenges for UNN. While an affordable, quality education that leads to a sustaining career is the core component of the mission of UNN, it is increasingly clear that students and their families are also interested in the enabling environment that contributes to the overall student experience in UNN. Often, these enabling environments and infrastructures that foster a productive academic climate are driven by investments made in the University facilities, as opposed to independent actions of students or the local community.  </w:t>
      </w:r>
    </w:p>
    <w:p w14:paraId="4F22BEFE">
      <w:pPr>
        <w:pStyle w:val="3"/>
        <w:spacing w:line="360" w:lineRule="auto"/>
        <w:jc w:val="both"/>
        <w:rPr>
          <w:sz w:val="24"/>
          <w:szCs w:val="24"/>
        </w:rPr>
      </w:pPr>
      <w:r>
        <w:rPr>
          <w:sz w:val="24"/>
          <w:szCs w:val="24"/>
          <w:lang w:val="en-US"/>
        </w:rPr>
        <w:t>In all, the total financial investment required by the University administration to provide a world-class learning environment that is competitive is beyond what the current revenue stream of the University can cope with. While large-scale infrastructure projects in the University of Nigeria have traditionally been funded by government and internally generated revenue, analysis of the present university context demonstrates the increasingly vital role of private sector participation. To partner with private sector participants in a public institution like the University of Nigeria would require a comprehensive policy to ensure alignment of interests and goals of the participants within the extant legal framework provided by the Infrastructure Concession Regulatory Commission (ICRC). The latter is the raison d'</w:t>
      </w:r>
      <w:r>
        <w:rPr>
          <w:sz w:val="24"/>
          <w:szCs w:val="24"/>
        </w:rPr>
        <w:t>ê</w:t>
      </w:r>
      <w:r>
        <w:rPr>
          <w:sz w:val="24"/>
          <w:szCs w:val="24"/>
          <w:lang w:val="en-US"/>
        </w:rPr>
        <w:t>tre for this policy document.</w:t>
      </w:r>
    </w:p>
    <w:p w14:paraId="0305F7FC">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240" w:lineRule="auto"/>
        <w:ind w:right="140"/>
        <w:rPr>
          <w:rFonts w:ascii="Times New Roman" w:hAnsi="Times New Roman" w:eastAsia="Times New Roman" w:cs="Times New Roman"/>
          <w:sz w:val="24"/>
          <w:szCs w:val="24"/>
          <w:lang w:val="en-US"/>
        </w:rPr>
      </w:pPr>
    </w:p>
    <w:p w14:paraId="7D6FEBF7">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240" w:lineRule="auto"/>
        <w:ind w:right="140"/>
        <w:rPr>
          <w:rFonts w:ascii="Times New Roman" w:hAnsi="Times New Roman" w:eastAsia="Times New Roman" w:cs="Times New Roman"/>
          <w:sz w:val="24"/>
          <w:szCs w:val="24"/>
          <w:lang w:val="en-US"/>
        </w:rPr>
      </w:pPr>
    </w:p>
    <w:p w14:paraId="5AB941BE">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240" w:lineRule="auto"/>
        <w:ind w:right="140"/>
        <w:rPr>
          <w:rFonts w:ascii="Times New Roman" w:hAnsi="Times New Roman" w:eastAsia="Times New Roman" w:cs="Times New Roman"/>
          <w:sz w:val="24"/>
          <w:szCs w:val="24"/>
          <w:lang w:val="en-US"/>
        </w:rPr>
      </w:pPr>
    </w:p>
    <w:p w14:paraId="32627E28">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240" w:lineRule="auto"/>
        <w:ind w:right="140"/>
        <w:rPr>
          <w:rFonts w:ascii="Times New Roman" w:hAnsi="Times New Roman" w:eastAsia="Times New Roman" w:cs="Times New Roman"/>
          <w:sz w:val="24"/>
          <w:szCs w:val="24"/>
          <w:lang w:val="en-US"/>
        </w:rPr>
      </w:pPr>
    </w:p>
    <w:p w14:paraId="5466B50F">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240" w:lineRule="auto"/>
        <w:ind w:right="140"/>
        <w:rPr>
          <w:rFonts w:ascii="Times New Roman" w:hAnsi="Times New Roman" w:eastAsia="Times New Roman" w:cs="Times New Roman"/>
          <w:sz w:val="24"/>
          <w:szCs w:val="24"/>
          <w:lang w:val="en-US"/>
        </w:rPr>
      </w:pPr>
    </w:p>
    <w:p w14:paraId="2F9C2E4D">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240" w:lineRule="auto"/>
        <w:ind w:right="140"/>
        <w:rPr>
          <w:rFonts w:ascii="Times New Roman" w:hAnsi="Times New Roman" w:eastAsia="Times New Roman" w:cs="Times New Roman"/>
          <w:sz w:val="24"/>
          <w:szCs w:val="24"/>
          <w:lang w:val="en-US"/>
        </w:rPr>
      </w:pPr>
    </w:p>
    <w:p w14:paraId="3AF2D40C">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240" w:lineRule="auto"/>
        <w:ind w:right="140"/>
        <w:rPr>
          <w:rFonts w:ascii="Times New Roman" w:hAnsi="Times New Roman" w:eastAsia="Times New Roman" w:cs="Times New Roman"/>
          <w:sz w:val="24"/>
          <w:szCs w:val="24"/>
          <w:lang w:val="en-US"/>
        </w:rPr>
      </w:pPr>
    </w:p>
    <w:p w14:paraId="1B929D0B">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240" w:lineRule="auto"/>
        <w:ind w:right="140"/>
        <w:rPr>
          <w:rFonts w:ascii="Times New Roman" w:hAnsi="Times New Roman" w:eastAsia="Times New Roman" w:cs="Times New Roman"/>
          <w:sz w:val="24"/>
          <w:szCs w:val="24"/>
          <w:lang w:val="en-US"/>
        </w:rPr>
      </w:pPr>
    </w:p>
    <w:p w14:paraId="73F93EE5">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240" w:lineRule="auto"/>
        <w:ind w:right="140"/>
        <w:rPr>
          <w:rFonts w:ascii="Times New Roman" w:hAnsi="Times New Roman" w:eastAsia="Times New Roman" w:cs="Times New Roman"/>
          <w:sz w:val="24"/>
          <w:szCs w:val="24"/>
          <w:lang w:val="en-US"/>
        </w:rPr>
      </w:pPr>
    </w:p>
    <w:p w14:paraId="23B755A3">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240" w:lineRule="auto"/>
        <w:ind w:right="140"/>
        <w:rPr>
          <w:rFonts w:ascii="Times New Roman" w:hAnsi="Times New Roman" w:eastAsia="Times New Roman" w:cs="Times New Roman"/>
          <w:sz w:val="24"/>
          <w:szCs w:val="24"/>
          <w:lang w:val="en-US"/>
        </w:rPr>
      </w:pPr>
    </w:p>
    <w:p w14:paraId="17072CA1">
      <w:pPr>
        <w:pStyle w:val="2"/>
        <w:spacing w:line="360" w:lineRule="auto"/>
        <w:rPr>
          <w:color w:val="000000"/>
          <w:sz w:val="28"/>
          <w:szCs w:val="28"/>
        </w:rPr>
      </w:pPr>
      <w:bookmarkStart w:id="8" w:name="_Toc7"/>
      <w:r>
        <w:rPr>
          <w:color w:val="000000"/>
          <w:sz w:val="28"/>
          <w:szCs w:val="28"/>
          <w:lang w:val="en-US"/>
        </w:rPr>
        <w:t>2.2 Context and Purpose of PPP Policy</w:t>
      </w:r>
      <w:bookmarkEnd w:id="8"/>
    </w:p>
    <w:p w14:paraId="0947EB2B">
      <w:pPr>
        <w:pStyle w:val="3"/>
        <w:spacing w:line="360" w:lineRule="auto"/>
        <w:jc w:val="both"/>
        <w:rPr>
          <w:sz w:val="24"/>
          <w:szCs w:val="24"/>
        </w:rPr>
      </w:pPr>
      <w:r>
        <w:rPr>
          <w:sz w:val="24"/>
          <w:szCs w:val="24"/>
          <w:lang w:val="en-US"/>
        </w:rPr>
        <w:t xml:space="preserve">The inevitable consequences of direct investment in infrastructure by the university management are inadequate and poor-quality services, steady dilapidation of the existing infrastructure due to poor maintenance and inefficient services that do not justify value for money. Further, the university community is bereft of the resources, expertise and stake to curate and manage this supporting infrastructure optimally. A PPP therefore provides a vehicle for a contractual relationship between UNN and private sector entities, in which they can share skills, technology and responsibility when delivering a product or service that is mutually beneficial. </w:t>
      </w:r>
    </w:p>
    <w:p w14:paraId="27159076">
      <w:pPr>
        <w:pStyle w:val="3"/>
        <w:spacing w:line="360" w:lineRule="auto"/>
        <w:jc w:val="both"/>
        <w:rPr>
          <w:sz w:val="24"/>
          <w:szCs w:val="24"/>
        </w:rPr>
      </w:pPr>
    </w:p>
    <w:p w14:paraId="0153CF6B">
      <w:pPr>
        <w:pStyle w:val="3"/>
        <w:spacing w:line="360" w:lineRule="auto"/>
        <w:jc w:val="both"/>
        <w:rPr>
          <w:sz w:val="24"/>
          <w:szCs w:val="24"/>
        </w:rPr>
      </w:pPr>
      <w:r>
        <w:rPr>
          <w:sz w:val="24"/>
          <w:szCs w:val="24"/>
          <w:lang w:val="en-US"/>
        </w:rPr>
        <w:t>Consequently, PPPs will provide greater flexibility and efficiency in building, financing and managing infrastructure and facilities in UNN. The PPP will help offset risk, promote designs of new facilities that fit into the existing structures, and confirm that the new facilities are both of high quality and attractive to prospective users. But perhaps the greatest benefit of a PPP for UNN is the time and energy they no longer need to spend on non-academic activities, allowing UNN to instead focus on delivering an academically excellent experience for their students.</w:t>
      </w:r>
    </w:p>
    <w:p w14:paraId="0748F977">
      <w:pPr>
        <w:pStyle w:val="23"/>
      </w:pPr>
    </w:p>
    <w:p w14:paraId="1597098D">
      <w:pPr>
        <w:pStyle w:val="2"/>
        <w:spacing w:line="360" w:lineRule="auto"/>
        <w:rPr>
          <w:color w:val="000000"/>
          <w:sz w:val="28"/>
          <w:szCs w:val="28"/>
        </w:rPr>
      </w:pPr>
      <w:bookmarkStart w:id="9" w:name="_Toc8"/>
      <w:r>
        <w:rPr>
          <w:color w:val="000000"/>
          <w:sz w:val="28"/>
          <w:szCs w:val="28"/>
          <w:lang w:val="en-US"/>
        </w:rPr>
        <w:t xml:space="preserve">2.3. The Five Key Objectives of PPP Initiatives in UNN are: </w:t>
      </w:r>
      <w:bookmarkEnd w:id="9"/>
    </w:p>
    <w:p w14:paraId="5E56117E">
      <w:pPr>
        <w:pStyle w:val="3"/>
        <w:numPr>
          <w:ilvl w:val="1"/>
          <w:numId w:val="12"/>
        </w:numPr>
        <w:spacing w:line="360" w:lineRule="auto"/>
        <w:jc w:val="both"/>
        <w:rPr>
          <w:sz w:val="24"/>
          <w:szCs w:val="24"/>
          <w:lang w:val="fr-FR"/>
        </w:rPr>
      </w:pPr>
      <w:r>
        <w:rPr>
          <w:sz w:val="24"/>
          <w:szCs w:val="24"/>
          <w:lang w:val="en-US"/>
        </w:rPr>
        <w:t>Leverage private sector expertise and financing to modernise and expand the University’s infrastructure capacity and bridge funding and infrastructure gaps.</w:t>
      </w:r>
      <w:r>
        <w:rPr>
          <w:sz w:val="24"/>
          <w:szCs w:val="24"/>
          <w:lang w:val="fr-FR"/>
        </w:rPr>
        <w:t xml:space="preserve"> </w:t>
      </w:r>
    </w:p>
    <w:p w14:paraId="68E55CD9">
      <w:pPr>
        <w:pStyle w:val="3"/>
        <w:numPr>
          <w:ilvl w:val="1"/>
          <w:numId w:val="12"/>
        </w:numPr>
        <w:spacing w:line="360" w:lineRule="auto"/>
        <w:jc w:val="both"/>
        <w:rPr>
          <w:sz w:val="24"/>
          <w:szCs w:val="24"/>
          <w:lang w:val="fr-FR"/>
        </w:rPr>
      </w:pPr>
      <w:r>
        <w:rPr>
          <w:sz w:val="24"/>
          <w:szCs w:val="24"/>
          <w:lang w:val="en-US"/>
        </w:rPr>
        <w:t xml:space="preserve">Facilitate the concessioning of IGR entities, such as hospitality and lodging facilities, hostels, and businesses, in the university. </w:t>
      </w:r>
    </w:p>
    <w:p w14:paraId="26E9F7DD">
      <w:pPr>
        <w:pStyle w:val="3"/>
        <w:numPr>
          <w:ilvl w:val="1"/>
          <w:numId w:val="12"/>
        </w:numPr>
        <w:spacing w:line="360" w:lineRule="auto"/>
        <w:jc w:val="both"/>
        <w:rPr>
          <w:sz w:val="24"/>
          <w:szCs w:val="24"/>
          <w:lang w:val="en-US"/>
        </w:rPr>
      </w:pPr>
      <w:r>
        <w:rPr>
          <w:sz w:val="24"/>
          <w:szCs w:val="24"/>
          <w:lang w:val="en-US"/>
        </w:rPr>
        <w:t xml:space="preserve">Promote efficiency and innovation in the management and development of university facilities, services, and projects and achieve long-term financial viability. </w:t>
      </w:r>
    </w:p>
    <w:p w14:paraId="78D6966C">
      <w:pPr>
        <w:pStyle w:val="3"/>
        <w:numPr>
          <w:ilvl w:val="1"/>
          <w:numId w:val="12"/>
        </w:numPr>
        <w:spacing w:line="360" w:lineRule="auto"/>
        <w:jc w:val="both"/>
        <w:rPr>
          <w:sz w:val="24"/>
          <w:szCs w:val="24"/>
          <w:lang w:val="en-US"/>
        </w:rPr>
      </w:pPr>
      <w:r>
        <w:rPr>
          <w:sz w:val="24"/>
          <w:szCs w:val="24"/>
          <w:lang w:val="en-US"/>
        </w:rPr>
        <w:t xml:space="preserve">Enhance service quality and delivery excellence. </w:t>
      </w:r>
    </w:p>
    <w:p w14:paraId="22869D70">
      <w:pPr>
        <w:pStyle w:val="3"/>
        <w:numPr>
          <w:ilvl w:val="1"/>
          <w:numId w:val="12"/>
        </w:numPr>
        <w:spacing w:line="360" w:lineRule="auto"/>
        <w:jc w:val="both"/>
        <w:rPr>
          <w:sz w:val="24"/>
          <w:szCs w:val="24"/>
          <w:lang w:val="en-US"/>
        </w:rPr>
      </w:pPr>
      <w:r>
        <w:rPr>
          <w:sz w:val="24"/>
          <w:szCs w:val="24"/>
          <w:lang w:val="en-US"/>
        </w:rPr>
        <w:t>Enhance university access, reputation and institutional attractiveness.</w:t>
      </w:r>
    </w:p>
    <w:p w14:paraId="21529F65">
      <w:pPr>
        <w:pStyle w:val="2"/>
        <w:spacing w:line="360" w:lineRule="auto"/>
        <w:ind w:left="792"/>
        <w:rPr>
          <w:color w:val="000000"/>
          <w:sz w:val="24"/>
          <w:szCs w:val="24"/>
        </w:rPr>
      </w:pPr>
      <w:bookmarkStart w:id="10" w:name="_Toc9"/>
      <w:r>
        <w:rPr>
          <w:color w:val="000000"/>
          <w:sz w:val="24"/>
          <w:szCs w:val="24"/>
          <w:lang w:val="en-US"/>
        </w:rPr>
        <w:t xml:space="preserve">2.3.1. Other Specific Objectives Sequel to the Adoption of a Robust PPP Intervention Model are to: </w:t>
      </w:r>
      <w:bookmarkEnd w:id="10"/>
    </w:p>
    <w:p w14:paraId="79B997AA">
      <w:pPr>
        <w:pStyle w:val="3"/>
        <w:numPr>
          <w:ilvl w:val="3"/>
          <w:numId w:val="13"/>
        </w:numPr>
        <w:spacing w:line="360" w:lineRule="auto"/>
        <w:jc w:val="both"/>
        <w:rPr>
          <w:sz w:val="24"/>
          <w:szCs w:val="24"/>
          <w:lang w:val="en-US"/>
        </w:rPr>
      </w:pPr>
      <w:r>
        <w:rPr>
          <w:sz w:val="24"/>
          <w:szCs w:val="24"/>
          <w:lang w:val="en-US"/>
        </w:rPr>
        <w:t>Ensure that infrastructure projects are planned, prioritised and managed to maximise economic returns and are delivered in a timely, efficient, and cost-effective manner.</w:t>
      </w:r>
    </w:p>
    <w:p w14:paraId="5FFC5AE1">
      <w:pPr>
        <w:pStyle w:val="3"/>
        <w:numPr>
          <w:ilvl w:val="3"/>
          <w:numId w:val="13"/>
        </w:numPr>
        <w:spacing w:line="360" w:lineRule="auto"/>
        <w:jc w:val="both"/>
        <w:rPr>
          <w:sz w:val="24"/>
          <w:szCs w:val="24"/>
          <w:lang w:val="en-US"/>
        </w:rPr>
      </w:pPr>
      <w:r>
        <w:rPr>
          <w:sz w:val="24"/>
          <w:szCs w:val="24"/>
          <w:lang w:val="en-US"/>
        </w:rPr>
        <w:t>Use PPP as a catalyst for the implementation of the C/SDP and any subsequent development plans, considering the University's development plans;</w:t>
      </w:r>
    </w:p>
    <w:p w14:paraId="6F3748D2">
      <w:pPr>
        <w:pStyle w:val="3"/>
        <w:numPr>
          <w:ilvl w:val="3"/>
          <w:numId w:val="13"/>
        </w:numPr>
        <w:spacing w:line="360" w:lineRule="auto"/>
        <w:jc w:val="both"/>
        <w:rPr>
          <w:sz w:val="24"/>
          <w:szCs w:val="24"/>
          <w:lang w:val="en-US"/>
        </w:rPr>
      </w:pPr>
      <w:r>
        <w:rPr>
          <w:sz w:val="24"/>
          <w:szCs w:val="24"/>
          <w:lang w:val="en-US"/>
        </w:rPr>
        <w:t>Accelerate investment in new infrastructure and ensure that existing infrastructure is upgraded to a satisfactory standard that meets the needs and aspirations of the university.</w:t>
      </w:r>
    </w:p>
    <w:p w14:paraId="36F18D63">
      <w:pPr>
        <w:pStyle w:val="3"/>
        <w:numPr>
          <w:ilvl w:val="3"/>
          <w:numId w:val="13"/>
        </w:numPr>
        <w:spacing w:line="360" w:lineRule="auto"/>
        <w:jc w:val="both"/>
        <w:rPr>
          <w:sz w:val="24"/>
          <w:szCs w:val="24"/>
          <w:lang w:val="en-US"/>
        </w:rPr>
      </w:pPr>
      <w:r>
        <w:rPr>
          <w:sz w:val="24"/>
          <w:szCs w:val="24"/>
          <w:lang w:val="en-US"/>
        </w:rPr>
        <w:t>Ensure that all investment projects provide value for money and that the costs to the university are affordable.</w:t>
      </w:r>
    </w:p>
    <w:p w14:paraId="6BC9D46C">
      <w:pPr>
        <w:pStyle w:val="3"/>
        <w:numPr>
          <w:ilvl w:val="3"/>
          <w:numId w:val="13"/>
        </w:numPr>
        <w:spacing w:line="360" w:lineRule="auto"/>
        <w:jc w:val="both"/>
        <w:rPr>
          <w:sz w:val="24"/>
          <w:szCs w:val="24"/>
          <w:lang w:val="en-US"/>
        </w:rPr>
      </w:pPr>
      <w:r>
        <w:rPr>
          <w:sz w:val="24"/>
          <w:szCs w:val="24"/>
          <w:lang w:val="en-US"/>
        </w:rPr>
        <w:t>Develop more reliable services by deploying private sector skills in project financing, risk management, project planning and the use of new technologies and innovation, thereby ensuring greater value for money in the provision of public infrastructure.</w:t>
      </w:r>
    </w:p>
    <w:p w14:paraId="38E71BAF">
      <w:pPr>
        <w:pStyle w:val="3"/>
        <w:numPr>
          <w:ilvl w:val="3"/>
          <w:numId w:val="13"/>
        </w:numPr>
        <w:spacing w:line="360" w:lineRule="auto"/>
        <w:jc w:val="both"/>
        <w:rPr>
          <w:sz w:val="24"/>
          <w:szCs w:val="24"/>
          <w:lang w:val="en-US"/>
        </w:rPr>
      </w:pPr>
      <w:r>
        <w:rPr>
          <w:sz w:val="24"/>
          <w:szCs w:val="24"/>
          <w:lang w:val="en-US"/>
        </w:rPr>
        <w:t>Improve the availability, quality and efficiency of power, water, transport and other public services within the university.</w:t>
      </w:r>
    </w:p>
    <w:p w14:paraId="151DEA5C">
      <w:pPr>
        <w:pStyle w:val="3"/>
        <w:numPr>
          <w:ilvl w:val="3"/>
          <w:numId w:val="13"/>
        </w:numPr>
        <w:spacing w:line="360" w:lineRule="auto"/>
        <w:jc w:val="both"/>
        <w:rPr>
          <w:sz w:val="24"/>
          <w:szCs w:val="24"/>
          <w:lang w:val="en-US"/>
        </w:rPr>
      </w:pPr>
      <w:r>
        <w:rPr>
          <w:sz w:val="24"/>
          <w:szCs w:val="24"/>
          <w:lang w:val="en-US"/>
        </w:rPr>
        <w:t>Enhance the employment generational potential and diversity of the university income.</w:t>
      </w:r>
    </w:p>
    <w:p w14:paraId="37B48079">
      <w:pPr>
        <w:pStyle w:val="3"/>
        <w:numPr>
          <w:ilvl w:val="3"/>
          <w:numId w:val="13"/>
        </w:numPr>
        <w:spacing w:line="360" w:lineRule="auto"/>
        <w:jc w:val="both"/>
        <w:rPr>
          <w:sz w:val="24"/>
          <w:szCs w:val="24"/>
          <w:lang w:val="en-US"/>
        </w:rPr>
      </w:pPr>
      <w:r>
        <w:rPr>
          <w:sz w:val="24"/>
          <w:szCs w:val="24"/>
          <w:lang w:val="en-US"/>
        </w:rPr>
        <w:t>Ensure that user charges for new or improved public services are affordable and provide value for money.</w:t>
      </w:r>
    </w:p>
    <w:p w14:paraId="22B16C83">
      <w:pPr>
        <w:pStyle w:val="3"/>
        <w:numPr>
          <w:ilvl w:val="3"/>
          <w:numId w:val="13"/>
        </w:numPr>
        <w:spacing w:line="360" w:lineRule="auto"/>
        <w:jc w:val="both"/>
        <w:rPr>
          <w:sz w:val="24"/>
          <w:szCs w:val="24"/>
          <w:lang w:val="en-US"/>
        </w:rPr>
      </w:pPr>
      <w:r>
        <w:rPr>
          <w:sz w:val="24"/>
          <w:szCs w:val="24"/>
          <w:lang w:val="en-US"/>
        </w:rPr>
        <w:t>Protect and enhance the natural environment within the university.</w:t>
      </w:r>
    </w:p>
    <w:p w14:paraId="0B9CAD2B">
      <w:pPr>
        <w:pStyle w:val="23"/>
      </w:pPr>
      <w:r>
        <w:rPr>
          <w:rFonts w:ascii="Arial Unicode MS" w:hAnsi="Arial Unicode MS" w:eastAsia="Arial Unicode MS" w:cs="Arial Unicode MS"/>
        </w:rPr>
        <w:br w:type="page"/>
      </w:r>
    </w:p>
    <w:p w14:paraId="14ABFA5A">
      <w:pPr>
        <w:pStyle w:val="22"/>
        <w:rPr>
          <w:color w:val="535F65"/>
        </w:rPr>
      </w:pPr>
    </w:p>
    <w:p w14:paraId="24B01D39">
      <w:pPr>
        <w:pStyle w:val="24"/>
        <w:rPr>
          <w:rFonts w:ascii="Helvetica Neue" w:hAnsi="Helvetica Neue" w:eastAsia="Helvetica Neue" w:cs="Helvetica Neue"/>
          <w:b/>
          <w:bCs/>
          <w:color w:val="000000"/>
        </w:rPr>
      </w:pPr>
      <w:bookmarkStart w:id="11" w:name="_Toc10"/>
      <w:r>
        <w:rPr>
          <w:rFonts w:ascii="Helvetica Neue" w:hAnsi="Helvetica Neue"/>
          <w:b/>
          <w:bCs/>
          <w:color w:val="000000"/>
          <w:lang w:val="en-US"/>
        </w:rPr>
        <w:t>3.0. Guiding Principles of the PPP policy</w:t>
      </w:r>
      <w:bookmarkEnd w:id="11"/>
    </w:p>
    <w:p w14:paraId="135DD4F9">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11C00FF4">
      <w:pPr>
        <w:pStyle w:val="3"/>
        <w:spacing w:line="360" w:lineRule="auto"/>
        <w:rPr>
          <w:sz w:val="24"/>
          <w:szCs w:val="24"/>
        </w:rPr>
      </w:pPr>
      <w:r>
        <w:rPr>
          <w:sz w:val="24"/>
          <w:szCs w:val="24"/>
          <w:lang w:val="en-US"/>
        </w:rPr>
        <w:t>The UNN PPP transactions and operations shall be guided by the following principles, which are in consonance with the university</w:t>
      </w:r>
      <w:r>
        <w:rPr>
          <w:sz w:val="24"/>
          <w:szCs w:val="24"/>
          <w:rtl/>
        </w:rPr>
        <w:t>’</w:t>
      </w:r>
      <w:r>
        <w:rPr>
          <w:sz w:val="24"/>
          <w:szCs w:val="24"/>
          <w:lang w:val="en-US"/>
        </w:rPr>
        <w:t>s core values:</w:t>
      </w:r>
    </w:p>
    <w:p w14:paraId="1030BFA9">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39357CD4">
      <w:pPr>
        <w:pStyle w:val="3"/>
        <w:numPr>
          <w:ilvl w:val="1"/>
          <w:numId w:val="14"/>
        </w:numPr>
        <w:spacing w:line="360" w:lineRule="auto"/>
        <w:jc w:val="both"/>
        <w:rPr>
          <w:sz w:val="24"/>
          <w:szCs w:val="24"/>
          <w:lang w:val="en-US"/>
        </w:rPr>
      </w:pPr>
      <w:r>
        <w:rPr>
          <w:rFonts w:ascii="Helvetica Neue" w:hAnsi="Helvetica Neue"/>
          <w:b/>
          <w:bCs/>
          <w:sz w:val="24"/>
          <w:szCs w:val="24"/>
          <w:lang w:val="en-US"/>
        </w:rPr>
        <w:t>Transparency and Accountability</w:t>
      </w:r>
      <w:r>
        <w:rPr>
          <w:sz w:val="24"/>
          <w:szCs w:val="24"/>
          <w:lang w:val="en-US"/>
        </w:rPr>
        <w:t>: All the PPP processes will be open, competitive, and subject to due oversight.</w:t>
      </w:r>
    </w:p>
    <w:p w14:paraId="5402A0F7">
      <w:pPr>
        <w:pStyle w:val="3"/>
        <w:numPr>
          <w:ilvl w:val="1"/>
          <w:numId w:val="8"/>
        </w:numPr>
        <w:spacing w:line="360" w:lineRule="auto"/>
        <w:jc w:val="both"/>
        <w:rPr>
          <w:sz w:val="24"/>
          <w:szCs w:val="24"/>
          <w:lang w:val="en-US"/>
        </w:rPr>
      </w:pPr>
      <w:r>
        <w:rPr>
          <w:rFonts w:ascii="Helvetica Neue" w:hAnsi="Helvetica Neue"/>
          <w:b/>
          <w:bCs/>
          <w:sz w:val="24"/>
          <w:szCs w:val="24"/>
          <w:lang w:val="en-US"/>
        </w:rPr>
        <w:t>Value for Money</w:t>
      </w:r>
      <w:r>
        <w:rPr>
          <w:sz w:val="24"/>
          <w:szCs w:val="24"/>
          <w:lang w:val="en-US"/>
        </w:rPr>
        <w:t>: Long-term benefits and cost-effectiveness must be the optimal critical factors in selecting all projects.</w:t>
      </w:r>
    </w:p>
    <w:p w14:paraId="03E5F64E">
      <w:pPr>
        <w:pStyle w:val="3"/>
        <w:numPr>
          <w:ilvl w:val="1"/>
          <w:numId w:val="8"/>
        </w:numPr>
        <w:spacing w:line="360" w:lineRule="auto"/>
        <w:jc w:val="both"/>
        <w:rPr>
          <w:sz w:val="24"/>
          <w:szCs w:val="24"/>
        </w:rPr>
      </w:pPr>
      <w:r>
        <w:rPr>
          <w:rFonts w:ascii="Helvetica Neue" w:hAnsi="Helvetica Neue"/>
          <w:b/>
          <w:bCs/>
          <w:sz w:val="24"/>
          <w:szCs w:val="24"/>
        </w:rPr>
        <w:t>Sustainability</w:t>
      </w:r>
      <w:r>
        <w:rPr>
          <w:sz w:val="24"/>
          <w:szCs w:val="24"/>
          <w:lang w:val="en-US"/>
        </w:rPr>
        <w:t>: All PPP initiatives will be environmentally, socially, and financially sustainable.</w:t>
      </w:r>
    </w:p>
    <w:p w14:paraId="2826C842">
      <w:pPr>
        <w:pStyle w:val="3"/>
        <w:numPr>
          <w:ilvl w:val="1"/>
          <w:numId w:val="8"/>
        </w:numPr>
        <w:spacing w:line="360" w:lineRule="auto"/>
        <w:jc w:val="both"/>
        <w:rPr>
          <w:sz w:val="24"/>
          <w:szCs w:val="24"/>
          <w:lang w:val="en-US"/>
        </w:rPr>
      </w:pPr>
      <w:r>
        <w:rPr>
          <w:rFonts w:ascii="Helvetica Neue" w:hAnsi="Helvetica Neue"/>
          <w:b/>
          <w:bCs/>
          <w:sz w:val="24"/>
          <w:szCs w:val="24"/>
          <w:lang w:val="en-US"/>
        </w:rPr>
        <w:t>Inclusivity</w:t>
      </w:r>
      <w:r>
        <w:rPr>
          <w:sz w:val="24"/>
          <w:szCs w:val="24"/>
          <w:lang w:val="en-US"/>
        </w:rPr>
        <w:t xml:space="preserve">: Stakeholder engagement, participation and equitable access to benefits will be ensured. </w:t>
      </w:r>
    </w:p>
    <w:p w14:paraId="72DD4F1C">
      <w:pPr>
        <w:pStyle w:val="3"/>
        <w:numPr>
          <w:ilvl w:val="1"/>
          <w:numId w:val="8"/>
        </w:numPr>
        <w:spacing w:line="360" w:lineRule="auto"/>
        <w:jc w:val="both"/>
        <w:rPr>
          <w:sz w:val="24"/>
          <w:szCs w:val="24"/>
          <w:lang w:val="da-DK"/>
        </w:rPr>
      </w:pPr>
      <w:r>
        <w:rPr>
          <w:rFonts w:ascii="Helvetica Neue" w:hAnsi="Helvetica Neue"/>
          <w:b/>
          <w:bCs/>
          <w:sz w:val="24"/>
          <w:szCs w:val="24"/>
          <w:lang w:val="da-DK"/>
        </w:rPr>
        <w:t>Risk Sharing</w:t>
      </w:r>
      <w:r>
        <w:rPr>
          <w:sz w:val="24"/>
          <w:szCs w:val="24"/>
          <w:lang w:val="en-US"/>
        </w:rPr>
        <w:t>: The party best suitable to manage any specific risk will manage the risk.</w:t>
      </w:r>
    </w:p>
    <w:p w14:paraId="2F30DBC9">
      <w:pPr>
        <w:pStyle w:val="2"/>
      </w:pPr>
    </w:p>
    <w:p w14:paraId="006C762E">
      <w:pPr>
        <w:pStyle w:val="2"/>
        <w:spacing w:line="360" w:lineRule="auto"/>
        <w:rPr>
          <w:color w:val="000000"/>
          <w:sz w:val="28"/>
          <w:szCs w:val="28"/>
        </w:rPr>
      </w:pPr>
      <w:bookmarkStart w:id="12" w:name="_Toc11"/>
      <w:r>
        <w:rPr>
          <w:color w:val="000000"/>
          <w:sz w:val="28"/>
          <w:szCs w:val="28"/>
          <w:lang w:val="en-US"/>
        </w:rPr>
        <w:t>3.1. Guiding Characteristics of PPP Policy</w:t>
      </w:r>
      <w:bookmarkEnd w:id="12"/>
    </w:p>
    <w:p w14:paraId="5BFE731D">
      <w:pPr>
        <w:pStyle w:val="3"/>
        <w:spacing w:line="360" w:lineRule="auto"/>
        <w:jc w:val="both"/>
        <w:rPr>
          <w:sz w:val="24"/>
          <w:szCs w:val="24"/>
        </w:rPr>
      </w:pPr>
      <w:r>
        <w:tab/>
      </w:r>
      <w:r>
        <w:rPr>
          <w:sz w:val="24"/>
          <w:szCs w:val="24"/>
          <w:lang w:val="en-US"/>
        </w:rPr>
        <w:t xml:space="preserve">3.1.1. Major Operational Characteristics </w:t>
      </w:r>
    </w:p>
    <w:p w14:paraId="4B93066A">
      <w:pPr>
        <w:pStyle w:val="3"/>
        <w:spacing w:line="360" w:lineRule="auto"/>
        <w:jc w:val="both"/>
        <w:rPr>
          <w:sz w:val="24"/>
          <w:szCs w:val="24"/>
        </w:rPr>
      </w:pPr>
      <w:r>
        <w:rPr>
          <w:sz w:val="24"/>
          <w:szCs w:val="24"/>
          <w:lang w:val="en-US"/>
        </w:rPr>
        <w:tab/>
      </w:r>
      <w:r>
        <w:rPr>
          <w:sz w:val="24"/>
          <w:szCs w:val="24"/>
          <w:lang w:val="en-US"/>
        </w:rPr>
        <w:t xml:space="preserve">3.1.1.1 </w:t>
      </w:r>
      <w:r>
        <w:rPr>
          <w:rFonts w:ascii="Helvetica Neue" w:hAnsi="Helvetica Neue"/>
          <w:i/>
          <w:iCs/>
          <w:sz w:val="24"/>
          <w:szCs w:val="24"/>
          <w:lang w:val="en-US"/>
        </w:rPr>
        <w:t>Long-Term Contract</w:t>
      </w:r>
    </w:p>
    <w:p w14:paraId="6269DE82">
      <w:pPr>
        <w:pStyle w:val="3"/>
        <w:spacing w:line="360" w:lineRule="auto"/>
        <w:ind w:left="720"/>
        <w:jc w:val="both"/>
        <w:rPr>
          <w:sz w:val="24"/>
          <w:szCs w:val="24"/>
          <w:lang w:val="en-US"/>
        </w:rPr>
      </w:pPr>
      <w:r>
        <w:rPr>
          <w:sz w:val="24"/>
          <w:szCs w:val="24"/>
          <w:lang w:val="en-US"/>
        </w:rPr>
        <w:t xml:space="preserve">PPP projects requiring investment are generally long-term in nature, and shall typically range from 10 to 30 years or more  </w:t>
      </w:r>
      <w:r>
        <w:rPr>
          <w:color w:val="000000" w:themeColor="text1"/>
          <w:sz w:val="24"/>
          <w:szCs w:val="24"/>
          <w:lang w:val="en-US"/>
          <w14:textFill>
            <w14:solidFill>
              <w14:schemeClr w14:val="tx1"/>
            </w14:solidFill>
          </w14:textFill>
        </w:rPr>
        <w:t xml:space="preserve">(10 to 21 years in the first instance) </w:t>
      </w:r>
      <w:r>
        <w:rPr>
          <w:sz w:val="24"/>
          <w:szCs w:val="24"/>
          <w:lang w:val="en-US"/>
        </w:rPr>
        <w:t>(note: PPP projects not requiring investment, such as management contracts, shall be for shorter terms). The tenure of the contract shall be such that it typically covers the entire economic life of the asset to ensure that the private sector partner takes a whole life-cycle view for the development</w:t>
      </w:r>
    </w:p>
    <w:p w14:paraId="1289FE71">
      <w:pPr>
        <w:pStyle w:val="3"/>
        <w:spacing w:line="360" w:lineRule="auto"/>
        <w:ind w:left="720"/>
        <w:jc w:val="both"/>
        <w:rPr>
          <w:sz w:val="24"/>
          <w:szCs w:val="24"/>
          <w:lang w:val="en-US"/>
        </w:rPr>
      </w:pPr>
    </w:p>
    <w:p w14:paraId="52F2E707">
      <w:pPr>
        <w:pStyle w:val="3"/>
        <w:spacing w:line="360" w:lineRule="auto"/>
        <w:ind w:left="720"/>
        <w:jc w:val="both"/>
        <w:rPr>
          <w:sz w:val="24"/>
          <w:szCs w:val="24"/>
          <w:lang w:val="en-US"/>
        </w:rPr>
      </w:pPr>
    </w:p>
    <w:p w14:paraId="4B95D74D">
      <w:pPr>
        <w:pStyle w:val="3"/>
        <w:spacing w:line="360" w:lineRule="auto"/>
        <w:ind w:left="720"/>
        <w:jc w:val="both"/>
        <w:rPr>
          <w:sz w:val="24"/>
          <w:szCs w:val="24"/>
        </w:rPr>
      </w:pPr>
      <w:r>
        <w:rPr>
          <w:sz w:val="24"/>
          <w:szCs w:val="24"/>
          <w:lang w:val="en-US"/>
        </w:rPr>
        <w:t xml:space="preserve"> of the asset. The asset shall be designed, constructed, operated, and maintained such that the whole life-cycle cost of the project is minimized, and the private sector operator ensures that the asset is well-maintained throughout its entire economic life. </w:t>
      </w:r>
    </w:p>
    <w:p w14:paraId="4E71840E">
      <w:pPr>
        <w:pStyle w:val="4"/>
        <w:spacing w:line="360" w:lineRule="auto"/>
        <w:ind w:left="605"/>
        <w:rPr>
          <w:sz w:val="24"/>
          <w:szCs w:val="24"/>
        </w:rPr>
      </w:pPr>
      <w:bookmarkStart w:id="13" w:name="_Toc12"/>
      <w:r>
        <w:rPr>
          <w:i/>
          <w:iCs/>
          <w:sz w:val="24"/>
          <w:szCs w:val="24"/>
          <w:lang w:val="en-US"/>
        </w:rPr>
        <w:t>3.1.1.2 Independent PPP Company</w:t>
      </w:r>
      <w:r>
        <w:rPr>
          <w:sz w:val="24"/>
          <w:szCs w:val="24"/>
          <w:lang w:val="en-US"/>
        </w:rPr>
        <w:t xml:space="preserve"> </w:t>
      </w:r>
      <w:bookmarkEnd w:id="13"/>
    </w:p>
    <w:p w14:paraId="2C428674">
      <w:pPr>
        <w:pStyle w:val="4"/>
        <w:spacing w:line="360" w:lineRule="auto"/>
        <w:rPr>
          <w:sz w:val="24"/>
          <w:szCs w:val="24"/>
          <w:lang w:val="en-US"/>
        </w:rPr>
      </w:pPr>
      <w:r>
        <w:rPr>
          <w:sz w:val="24"/>
          <w:szCs w:val="24"/>
          <w:lang w:val="en-US"/>
        </w:rPr>
        <w:t xml:space="preserve">Given the capital-intensive nature of PPP infrastructure projects and the risks associated with them, private sponsors of the project in UNN will be allowed to form a separate independent PPP Company, under a Special Purpose Vehicle (SPV) structure. </w:t>
      </w:r>
      <w:r>
        <w:rPr>
          <w:rFonts w:ascii="Helvetica Neue Light" w:hAnsi="Helvetica Neue Light" w:eastAsia="Helvetica Neue Light" w:cs="Helvetica Neue Light"/>
          <w:color w:val="000000" w:themeColor="text1"/>
          <w:sz w:val="24"/>
          <w:szCs w:val="24"/>
          <w14:textFill>
            <w14:solidFill>
              <w14:schemeClr w14:val="tx1"/>
            </w14:solidFill>
          </w14:textFill>
        </w:rPr>
        <w:t>SPV’S are usually project specific with varying responsibilities of both parties to the PPP)</w:t>
      </w:r>
      <w:r>
        <w:rPr>
          <w:color w:val="000000" w:themeColor="text1"/>
          <w:sz w:val="24"/>
          <w:szCs w:val="24"/>
          <w:lang w:val="en-US"/>
          <w14:textFill>
            <w14:solidFill>
              <w14:schemeClr w14:val="tx1"/>
            </w14:solidFill>
          </w14:textFill>
        </w:rPr>
        <w:t xml:space="preserve"> </w:t>
      </w:r>
      <w:r>
        <w:rPr>
          <w:sz w:val="24"/>
          <w:szCs w:val="24"/>
          <w:lang w:val="en-US"/>
        </w:rPr>
        <w:t>This would enable  private sector consortium to raise funding and reduce risks of project failure</w:t>
      </w:r>
      <w:bookmarkStart w:id="14" w:name="_Toc13"/>
      <w:r>
        <w:rPr>
          <w:sz w:val="24"/>
          <w:szCs w:val="24"/>
          <w:lang w:val="en-US"/>
        </w:rPr>
        <w:t xml:space="preserve"> </w:t>
      </w:r>
    </w:p>
    <w:p w14:paraId="73E3FA2E">
      <w:pPr>
        <w:pStyle w:val="4"/>
        <w:spacing w:line="360" w:lineRule="auto"/>
        <w:rPr>
          <w:sz w:val="24"/>
          <w:szCs w:val="24"/>
        </w:rPr>
      </w:pPr>
      <w:r>
        <w:rPr>
          <w:i/>
          <w:iCs/>
          <w:sz w:val="24"/>
          <w:szCs w:val="24"/>
          <w:lang w:val="en-US"/>
        </w:rPr>
        <w:t xml:space="preserve">        3.1.1.3. Allocation of Risks</w:t>
      </w:r>
      <w:bookmarkEnd w:id="14"/>
    </w:p>
    <w:p w14:paraId="0C01A289">
      <w:pPr>
        <w:pStyle w:val="3"/>
        <w:spacing w:line="360" w:lineRule="auto"/>
        <w:ind w:left="720"/>
        <w:jc w:val="both"/>
        <w:rPr>
          <w:sz w:val="24"/>
          <w:szCs w:val="24"/>
        </w:rPr>
      </w:pPr>
      <w:r>
        <w:rPr>
          <w:sz w:val="24"/>
          <w:szCs w:val="24"/>
          <w:lang w:val="en-US"/>
        </w:rPr>
        <w:t xml:space="preserve">One key factor to achieving successful implementation of a PPP projects in UNN is the optimal sharing of risks and responsibilities between the UNN and private sector investors. The guiding principle that shall guide in identifying and allocating responsibilities is that the party best able to manage a particular activity shall be responsible for the risks associated with that activity and receive the associated rewards or losses. </w:t>
      </w:r>
    </w:p>
    <w:p w14:paraId="35C523EF">
      <w:pPr>
        <w:pStyle w:val="4"/>
        <w:spacing w:line="360" w:lineRule="auto"/>
        <w:rPr>
          <w:i/>
          <w:iCs/>
          <w:sz w:val="24"/>
          <w:szCs w:val="24"/>
        </w:rPr>
      </w:pPr>
      <w:bookmarkStart w:id="15" w:name="_Toc14"/>
      <w:r>
        <w:rPr>
          <w:i/>
          <w:iCs/>
          <w:sz w:val="24"/>
          <w:szCs w:val="24"/>
          <w:lang w:val="en-US"/>
        </w:rPr>
        <w:t xml:space="preserve">          3.1.1.4. Output Standards and Specifications</w:t>
      </w:r>
      <w:bookmarkEnd w:id="15"/>
    </w:p>
    <w:p w14:paraId="67004A35">
      <w:pPr>
        <w:pStyle w:val="3"/>
        <w:spacing w:line="360" w:lineRule="auto"/>
        <w:ind w:left="720"/>
        <w:jc w:val="both"/>
        <w:rPr>
          <w:i/>
          <w:iCs/>
          <w:sz w:val="24"/>
          <w:szCs w:val="24"/>
          <w:lang w:val="en-US"/>
        </w:rPr>
      </w:pPr>
      <w:r>
        <w:rPr>
          <w:sz w:val="24"/>
          <w:szCs w:val="24"/>
          <w:lang w:val="en-US"/>
        </w:rPr>
        <w:t xml:space="preserve">Output specifications form a vital part in encouraging innovation in PPP projects. Output specifications for PPP Projects shall define the ends without being prescriptive about the means for meeting these outputs. UNN shall clearly states the public service requirements for the facilities and services, while leaving room for the private sector partners to produce innovative, cost-effective solutions. </w:t>
      </w:r>
      <w:bookmarkStart w:id="16" w:name="_Toc15"/>
      <w:r>
        <w:rPr>
          <w:i/>
          <w:iCs/>
          <w:sz w:val="24"/>
          <w:szCs w:val="24"/>
          <w:lang w:val="en-US"/>
        </w:rPr>
        <w:t xml:space="preserve">         </w:t>
      </w:r>
    </w:p>
    <w:p w14:paraId="112BD0E9">
      <w:pPr>
        <w:pStyle w:val="3"/>
        <w:spacing w:line="360" w:lineRule="auto"/>
        <w:ind w:left="720"/>
        <w:jc w:val="both"/>
        <w:rPr>
          <w:i/>
          <w:iCs/>
          <w:sz w:val="24"/>
          <w:szCs w:val="24"/>
        </w:rPr>
      </w:pPr>
      <w:r>
        <w:rPr>
          <w:i/>
          <w:iCs/>
          <w:sz w:val="24"/>
          <w:szCs w:val="24"/>
          <w:lang w:val="en-US"/>
        </w:rPr>
        <w:t xml:space="preserve"> 3.1.1.5.  Performance-Based Payment Mechanism</w:t>
      </w:r>
      <w:bookmarkEnd w:id="16"/>
    </w:p>
    <w:p w14:paraId="58FA4592">
      <w:pPr>
        <w:pStyle w:val="3"/>
        <w:spacing w:line="360" w:lineRule="auto"/>
        <w:ind w:left="720"/>
        <w:jc w:val="both"/>
        <w:rPr>
          <w:i/>
          <w:color w:val="EE0000"/>
          <w:sz w:val="24"/>
          <w:szCs w:val="24"/>
        </w:rPr>
      </w:pPr>
      <w:r>
        <w:rPr>
          <w:sz w:val="24"/>
          <w:szCs w:val="24"/>
          <w:lang w:val="en-US"/>
        </w:rPr>
        <w:t xml:space="preserve">The UNN PPP projects </w:t>
      </w:r>
      <w:r>
        <w:rPr>
          <w:color w:val="000000" w:themeColor="text1"/>
          <w:sz w:val="24"/>
          <w:szCs w:val="24"/>
          <w:lang w:val="en-US"/>
          <w14:textFill>
            <w14:solidFill>
              <w14:schemeClr w14:val="tx1"/>
            </w14:solidFill>
          </w14:textFill>
        </w:rPr>
        <w:t xml:space="preserve">shall be structured </w:t>
      </w:r>
      <w:r>
        <w:rPr>
          <w:sz w:val="24"/>
          <w:szCs w:val="24"/>
          <w:lang w:val="en-US"/>
        </w:rPr>
        <w:t xml:space="preserve">in such a manner that the contract includes a performance-based payment mechanism, whereby UNN only pays when services are delivered by the private sector partners. The recurrent payment shall depend on whether the services provided meet the specified performance standards as well. </w:t>
      </w:r>
      <w:r>
        <w:rPr>
          <w:i/>
          <w:sz w:val="24"/>
          <w:szCs w:val="24"/>
          <w:lang w:val="en-US"/>
        </w:rPr>
        <w:t>For example, it is not just expected that a new water distribution PPP project in UNN will provide customers with adequate quantity of water, but also that the potable water is above specified quality standards.</w:t>
      </w:r>
    </w:p>
    <w:p w14:paraId="144BE475">
      <w:pPr>
        <w:pStyle w:val="2"/>
      </w:pPr>
    </w:p>
    <w:p w14:paraId="3E881DFE">
      <w:pPr>
        <w:pStyle w:val="2"/>
        <w:spacing w:line="360" w:lineRule="auto"/>
        <w:rPr>
          <w:color w:val="000000"/>
          <w:sz w:val="28"/>
          <w:szCs w:val="28"/>
        </w:rPr>
      </w:pPr>
      <w:bookmarkStart w:id="17" w:name="_Toc16"/>
      <w:r>
        <w:rPr>
          <w:color w:val="000000"/>
          <w:sz w:val="28"/>
          <w:szCs w:val="28"/>
          <w:lang w:val="en-US"/>
        </w:rPr>
        <w:t xml:space="preserve">3.2. Guiding Financial Characteristics </w:t>
      </w:r>
      <w:bookmarkEnd w:id="17"/>
    </w:p>
    <w:p w14:paraId="06F369AD">
      <w:pPr>
        <w:pStyle w:val="4"/>
        <w:spacing w:line="360" w:lineRule="auto"/>
      </w:pPr>
      <w:bookmarkStart w:id="18" w:name="_Toc17"/>
      <w:r>
        <w:tab/>
      </w:r>
      <w:r>
        <w:rPr>
          <w:i/>
          <w:iCs/>
          <w:sz w:val="24"/>
          <w:szCs w:val="24"/>
          <w:lang w:val="en-US"/>
        </w:rPr>
        <w:t xml:space="preserve">3.2.1. Private Financing </w:t>
      </w:r>
      <w:bookmarkEnd w:id="18"/>
    </w:p>
    <w:p w14:paraId="4834A99E">
      <w:pPr>
        <w:pStyle w:val="3"/>
        <w:spacing w:line="360" w:lineRule="auto"/>
        <w:ind w:left="720"/>
        <w:jc w:val="both"/>
        <w:rPr>
          <w:color w:val="000000" w:themeColor="text1"/>
          <w:sz w:val="24"/>
          <w:szCs w:val="24"/>
          <w14:textFill>
            <w14:solidFill>
              <w14:schemeClr w14:val="tx1"/>
            </w14:solidFill>
          </w14:textFill>
        </w:rPr>
      </w:pPr>
      <w:r>
        <w:rPr>
          <w:sz w:val="24"/>
          <w:szCs w:val="24"/>
          <w:lang w:val="en-US"/>
        </w:rPr>
        <w:t xml:space="preserve">In any PPP structure in UNN, the responsibility of financing the project assets shall rest with the private sector partner. </w:t>
      </w:r>
      <w:r>
        <w:rPr>
          <w:color w:val="000000" w:themeColor="text1"/>
          <w:sz w:val="24"/>
          <w:szCs w:val="24"/>
          <w:lang w:val="en-US"/>
          <w14:textFill>
            <w14:solidFill>
              <w14:schemeClr w14:val="tx1"/>
            </w14:solidFill>
          </w14:textFill>
        </w:rPr>
        <w:t xml:space="preserve">There could be exceptions to this rule and this shall depend on the service delivery model adopted. In the models which involve funding the project assets by the private sector, the private sector partner shall raise project finance through equity and/or debt finance. The project can be owned (or leased) by one or more equity investors during the project term. Some of the shareholders may also be contractors to the project, who may carry out construction, design or management of the assets. Others may be pure financial investors. Debt finance, in the form of bank loans or bonds, shall be raised to at least partially finance the construction and operation of the project. </w:t>
      </w:r>
    </w:p>
    <w:p w14:paraId="275BF3E2">
      <w:pPr>
        <w:pStyle w:val="4"/>
        <w:spacing w:line="360" w:lineRule="auto"/>
        <w:ind w:left="792"/>
        <w:rPr>
          <w:i/>
          <w:iCs/>
        </w:rPr>
      </w:pPr>
      <w:bookmarkStart w:id="19" w:name="_Toc18"/>
      <w:r>
        <w:rPr>
          <w:i/>
          <w:iCs/>
          <w:sz w:val="24"/>
          <w:szCs w:val="24"/>
          <w:lang w:val="en-US"/>
        </w:rPr>
        <w:t>3.2.2. User Fees</w:t>
      </w:r>
      <w:bookmarkEnd w:id="19"/>
    </w:p>
    <w:p w14:paraId="0DA7E4A5">
      <w:pPr>
        <w:pStyle w:val="3"/>
        <w:spacing w:line="360" w:lineRule="auto"/>
        <w:ind w:left="720"/>
        <w:jc w:val="both"/>
        <w:rPr>
          <w:sz w:val="24"/>
          <w:szCs w:val="24"/>
        </w:rPr>
      </w:pPr>
      <w:r>
        <w:rPr>
          <w:sz w:val="24"/>
          <w:szCs w:val="24"/>
          <w:lang w:val="en-US"/>
        </w:rPr>
        <w:t xml:space="preserve">In all PPP projects, investors will be required to recover most of their costs from users rather than from the University directly. </w:t>
      </w:r>
    </w:p>
    <w:p w14:paraId="7CFB429D">
      <w:pPr>
        <w:pStyle w:val="4"/>
        <w:spacing w:line="360" w:lineRule="auto"/>
        <w:rPr>
          <w:sz w:val="24"/>
          <w:szCs w:val="24"/>
        </w:rPr>
      </w:pPr>
      <w:bookmarkStart w:id="20" w:name="_Toc19"/>
      <w:r>
        <w:rPr>
          <w:sz w:val="24"/>
          <w:szCs w:val="24"/>
        </w:rPr>
        <w:tab/>
      </w:r>
      <w:r>
        <w:rPr>
          <w:i/>
          <w:iCs/>
          <w:sz w:val="24"/>
          <w:szCs w:val="24"/>
          <w:lang w:val="en-US"/>
        </w:rPr>
        <w:t>3.2.3. Viability Funding Gap (VGF) or Availability Payments</w:t>
      </w:r>
      <w:r>
        <w:rPr>
          <w:sz w:val="24"/>
          <w:szCs w:val="24"/>
          <w:lang w:val="en-US"/>
        </w:rPr>
        <w:t xml:space="preserve"> </w:t>
      </w:r>
      <w:bookmarkEnd w:id="20"/>
    </w:p>
    <w:p w14:paraId="4E377579">
      <w:pPr>
        <w:pStyle w:val="3"/>
        <w:spacing w:line="360" w:lineRule="auto"/>
        <w:ind w:left="720"/>
        <w:jc w:val="both"/>
        <w:rPr>
          <w:sz w:val="24"/>
          <w:szCs w:val="24"/>
        </w:rPr>
      </w:pPr>
      <w:r>
        <w:rPr>
          <w:sz w:val="24"/>
          <w:szCs w:val="24"/>
          <w:lang w:val="en-US"/>
        </w:rPr>
        <w:t>To ensure that PPP  projects are viable, efforts shall be made to demonstrate that the private sector investors can achieve an acceptable rate of return for the risks it takes in financing the project</w:t>
      </w:r>
      <w:r>
        <w:rPr>
          <w:sz w:val="24"/>
          <w:szCs w:val="24"/>
          <w:rtl/>
        </w:rPr>
        <w:t>’</w:t>
      </w:r>
      <w:r>
        <w:rPr>
          <w:sz w:val="24"/>
          <w:szCs w:val="24"/>
          <w:lang w:val="en-US"/>
        </w:rPr>
        <w:t xml:space="preserve">s assets. To cover any shortfall in income to offset total project costs, the University may provide a payment to part-finance the project costs, which in turn will raise the return to the private sector making the project more financially attractive. This payment called a VGF or availability payment shall be provided on the basis that the assets involved in the project which are used to provide the infrastructure services are available 24 hours of every day for the whole year, except for periods of pre-arranged maintenance and therefore shall continue to pass part of the risk to the private sector.  A PPP shall only be structured to include VGF/availability payments when total income does not cover total project costs to make the project financially viable and bankable and to attract private investors. Availability payments but not VG shall be used in PPP social infrastructure or soft infrastructure projects, where the user charges are payable to the SPV or private sector services provider solely by the university, as part of the agreed payment mechanism for the provision of those services. Assets used to provide the services shall be divided into areas on the basis of importance or priority. If any of these areas is not available, then through the payment mechanism formula the user charges that are payable by the university, are reduced by a percentage based on the importance or priority of the area concerned and the time that the area is unavailable, after deduction of an agreed time allowance for the SPV or services provider to bring the area back to full availability. </w:t>
      </w:r>
    </w:p>
    <w:p w14:paraId="40A28723">
      <w:pPr>
        <w:pStyle w:val="4"/>
        <w:spacing w:line="360" w:lineRule="auto"/>
        <w:rPr>
          <w:i/>
          <w:iCs/>
        </w:rPr>
      </w:pPr>
      <w:bookmarkStart w:id="21" w:name="_Toc20"/>
      <w:r>
        <w:rPr>
          <w:i/>
          <w:iCs/>
        </w:rPr>
        <w:tab/>
      </w:r>
      <w:r>
        <w:rPr>
          <w:i/>
          <w:iCs/>
          <w:sz w:val="24"/>
          <w:szCs w:val="24"/>
          <w:lang w:val="en-US"/>
        </w:rPr>
        <w:t>3.2.4. Service Performance Standards</w:t>
      </w:r>
      <w:r>
        <w:rPr>
          <w:i/>
          <w:iCs/>
          <w:lang w:val="en-US"/>
        </w:rPr>
        <w:t xml:space="preserve">  </w:t>
      </w:r>
      <w:bookmarkEnd w:id="21"/>
    </w:p>
    <w:p w14:paraId="36271DEF">
      <w:pPr>
        <w:pStyle w:val="3"/>
        <w:spacing w:line="360" w:lineRule="auto"/>
        <w:ind w:left="720"/>
        <w:jc w:val="both"/>
      </w:pPr>
      <w:r>
        <w:rPr>
          <w:sz w:val="24"/>
          <w:szCs w:val="24"/>
          <w:lang w:val="en-US"/>
        </w:rPr>
        <w:t xml:space="preserve">To ensure that the private sector concessionaire or service operator fully understands the minimum service levels that the university requires for the PPP project in question, the university project sponsor must describe in general details in the RFP, a full set of minimum performance standards for the requested services, covering the availability of the assets provided by the private sector concessionaire and the required minimum service levels. </w:t>
      </w:r>
      <w:r>
        <w:rPr>
          <w:sz w:val="24"/>
          <w:szCs w:val="24"/>
        </w:rPr>
        <w:t>Detailed service performance standards shall be negotiated with the selected preferred bidder, as part of the PPP concession contract negotiations. These performance standards shall be backed by an incentive or penalty system for rewarding or punishing the private sector operator for service levels delivered above or below the agreed performance standards. In cases of continuous poor performance below the agreed performance standards, the PPP contract shall be terminated, or the Lenders Direct Agreement (Step-in-Rights, Cure Periods, Assignment Rights</w:t>
      </w:r>
      <w:r>
        <w:rPr>
          <w:sz w:val="24"/>
          <w:szCs w:val="24"/>
          <w:lang w:val="en-US"/>
        </w:rPr>
        <w:t xml:space="preserve">, Termination Compensation) will come into operation. The incentive/penalty system is usually points based which translates into a monetary amount at agreed periods. </w:t>
      </w:r>
    </w:p>
    <w:p w14:paraId="15B439F6">
      <w:pPr>
        <w:pStyle w:val="2"/>
      </w:pPr>
    </w:p>
    <w:p w14:paraId="3E204791">
      <w:pPr>
        <w:pStyle w:val="23"/>
      </w:pPr>
    </w:p>
    <w:p w14:paraId="77665E2A">
      <w:pPr>
        <w:pStyle w:val="23"/>
      </w:pPr>
    </w:p>
    <w:p w14:paraId="2D375EF4">
      <w:pPr>
        <w:pStyle w:val="23"/>
      </w:pPr>
    </w:p>
    <w:p w14:paraId="40428D7C">
      <w:pPr>
        <w:pStyle w:val="23"/>
      </w:pPr>
    </w:p>
    <w:p w14:paraId="543A9587">
      <w:pPr>
        <w:pStyle w:val="23"/>
      </w:pPr>
    </w:p>
    <w:p w14:paraId="668740D2">
      <w:pPr>
        <w:pStyle w:val="23"/>
      </w:pPr>
    </w:p>
    <w:p w14:paraId="6DCE9DE4">
      <w:pPr>
        <w:pStyle w:val="23"/>
      </w:pPr>
    </w:p>
    <w:p w14:paraId="2A8C195C">
      <w:pPr>
        <w:pStyle w:val="23"/>
      </w:pPr>
    </w:p>
    <w:p w14:paraId="5BB596B1">
      <w:pPr>
        <w:pStyle w:val="23"/>
      </w:pPr>
    </w:p>
    <w:p w14:paraId="6062EDF3">
      <w:pPr>
        <w:pStyle w:val="23"/>
      </w:pPr>
    </w:p>
    <w:p w14:paraId="4E4F6176">
      <w:pPr>
        <w:pStyle w:val="22"/>
        <w:rPr>
          <w:color w:val="535F65"/>
        </w:rPr>
      </w:pPr>
    </w:p>
    <w:p w14:paraId="565AD211">
      <w:pPr>
        <w:pStyle w:val="24"/>
        <w:rPr>
          <w:rFonts w:ascii="Helvetica Neue" w:hAnsi="Helvetica Neue" w:eastAsia="Helvetica Neue" w:cs="Helvetica Neue"/>
          <w:b/>
          <w:bCs/>
          <w:color w:val="000000"/>
        </w:rPr>
      </w:pPr>
      <w:bookmarkStart w:id="22" w:name="_Toc21"/>
      <w:r>
        <w:rPr>
          <w:rFonts w:ascii="Helvetica Neue" w:hAnsi="Helvetica Neue"/>
          <w:b/>
          <w:bCs/>
          <w:color w:val="000000"/>
          <w:lang w:val="en-US"/>
        </w:rPr>
        <w:t xml:space="preserve">4.0. Legal and policy framework </w:t>
      </w:r>
      <w:bookmarkEnd w:id="22"/>
    </w:p>
    <w:p w14:paraId="7539CD16">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457DA8F2">
      <w:pPr>
        <w:pStyle w:val="3"/>
        <w:spacing w:line="360" w:lineRule="auto"/>
        <w:jc w:val="both"/>
        <w:rPr>
          <w:sz w:val="24"/>
          <w:szCs w:val="24"/>
        </w:rPr>
      </w:pPr>
      <w:r>
        <w:rPr>
          <w:sz w:val="24"/>
          <w:szCs w:val="24"/>
          <w:lang w:val="en-US"/>
        </w:rPr>
        <w:t>The "PPP framework</w:t>
      </w:r>
      <w:r>
        <w:rPr>
          <w:sz w:val="24"/>
          <w:szCs w:val="24"/>
        </w:rPr>
        <w:t xml:space="preserve">” </w:t>
      </w:r>
      <w:r>
        <w:rPr>
          <w:sz w:val="24"/>
          <w:szCs w:val="24"/>
          <w:lang w:val="en-US"/>
        </w:rPr>
        <w:t>or "PPP Policy Framework</w:t>
      </w:r>
      <w:r>
        <w:rPr>
          <w:sz w:val="24"/>
          <w:szCs w:val="24"/>
        </w:rPr>
        <w:t xml:space="preserve">” </w:t>
      </w:r>
      <w:r>
        <w:rPr>
          <w:sz w:val="24"/>
          <w:szCs w:val="24"/>
          <w:lang w:val="en-US"/>
        </w:rPr>
        <w:t xml:space="preserve">is the policy, procedures, institutions, and rules that together define how PPPs in UNN will be implemented. It is anchored within supporting legislations, which outlines the rules and procedures for engaging private sector participation in public infrastructure and service delivery. Key legal instruments include: </w:t>
      </w:r>
    </w:p>
    <w:p w14:paraId="00C73199">
      <w:pPr>
        <w:pStyle w:val="2"/>
        <w:spacing w:line="360" w:lineRule="auto"/>
        <w:rPr>
          <w:color w:val="EE0000"/>
          <w:sz w:val="26"/>
          <w:szCs w:val="26"/>
        </w:rPr>
      </w:pPr>
      <w:bookmarkStart w:id="23" w:name="_Toc22"/>
      <w:r>
        <w:rPr>
          <w:color w:val="000000"/>
          <w:sz w:val="24"/>
          <w:szCs w:val="24"/>
          <w:lang w:val="en-US"/>
        </w:rPr>
        <w:t xml:space="preserve">4.1. University of Nigeria Procurement </w:t>
      </w:r>
      <w:bookmarkEnd w:id="23"/>
      <w:r>
        <w:rPr>
          <w:color w:val="000000"/>
          <w:sz w:val="24"/>
          <w:szCs w:val="24"/>
          <w:lang w:val="en-US"/>
        </w:rPr>
        <w:t xml:space="preserve">Procedure </w:t>
      </w:r>
    </w:p>
    <w:p w14:paraId="291AD42D">
      <w:pPr>
        <w:pStyle w:val="3"/>
        <w:numPr>
          <w:ilvl w:val="1"/>
          <w:numId w:val="15"/>
        </w:numPr>
        <w:spacing w:line="360" w:lineRule="auto"/>
        <w:jc w:val="both"/>
        <w:rPr>
          <w:sz w:val="24"/>
          <w:szCs w:val="24"/>
          <w:lang w:val="en-US"/>
        </w:rPr>
      </w:pPr>
      <w:r>
        <w:rPr>
          <w:sz w:val="24"/>
          <w:szCs w:val="24"/>
          <w:lang w:val="en-US"/>
        </w:rPr>
        <w:t>The UNN procedure follows the Federal Government Procurement Procedure</w:t>
      </w:r>
    </w:p>
    <w:p w14:paraId="74C65A59">
      <w:pPr>
        <w:pStyle w:val="3"/>
        <w:numPr>
          <w:ilvl w:val="1"/>
          <w:numId w:val="15"/>
        </w:numPr>
        <w:spacing w:line="360" w:lineRule="auto"/>
        <w:jc w:val="both"/>
        <w:rPr>
          <w:sz w:val="24"/>
          <w:szCs w:val="24"/>
          <w:lang w:val="en-US"/>
        </w:rPr>
      </w:pPr>
      <w:r>
        <w:rPr>
          <w:sz w:val="24"/>
          <w:szCs w:val="24"/>
          <w:lang w:val="en-US"/>
        </w:rPr>
        <w:t>This ensures competitive and transparent procurement processes.</w:t>
      </w:r>
    </w:p>
    <w:p w14:paraId="78850922">
      <w:pPr>
        <w:pStyle w:val="3"/>
        <w:numPr>
          <w:ilvl w:val="1"/>
          <w:numId w:val="8"/>
        </w:numPr>
        <w:spacing w:line="360" w:lineRule="auto"/>
        <w:jc w:val="both"/>
        <w:rPr>
          <w:sz w:val="24"/>
          <w:szCs w:val="24"/>
          <w:lang w:val="en-US"/>
        </w:rPr>
      </w:pPr>
      <w:r>
        <w:rPr>
          <w:sz w:val="24"/>
          <w:szCs w:val="24"/>
          <w:lang w:val="en-US"/>
        </w:rPr>
        <w:t>Mandates compliance with procurement guidelines for all PPP Projects</w:t>
      </w:r>
    </w:p>
    <w:p w14:paraId="22BC4BDF">
      <w:pPr>
        <w:pStyle w:val="2"/>
        <w:spacing w:line="360" w:lineRule="auto"/>
        <w:rPr>
          <w:color w:val="000000"/>
          <w:sz w:val="24"/>
          <w:szCs w:val="24"/>
        </w:rPr>
      </w:pPr>
      <w:bookmarkStart w:id="24" w:name="_Toc23"/>
      <w:r>
        <w:rPr>
          <w:color w:val="000000"/>
          <w:sz w:val="24"/>
          <w:szCs w:val="24"/>
          <w:lang w:val="en-US"/>
        </w:rPr>
        <w:t>4.2. Supporting Regulations</w:t>
      </w:r>
      <w:bookmarkEnd w:id="24"/>
    </w:p>
    <w:p w14:paraId="2CB780DB">
      <w:pPr>
        <w:pStyle w:val="3"/>
        <w:numPr>
          <w:ilvl w:val="0"/>
          <w:numId w:val="16"/>
        </w:numPr>
        <w:spacing w:line="360" w:lineRule="auto"/>
        <w:rPr>
          <w:sz w:val="24"/>
          <w:szCs w:val="24"/>
          <w:lang w:val="en-US"/>
        </w:rPr>
      </w:pPr>
      <w:r>
        <w:rPr>
          <w:sz w:val="24"/>
          <w:szCs w:val="24"/>
          <w:lang w:val="en-US"/>
        </w:rPr>
        <w:t>Issued by the University Management to provide operational clarity.</w:t>
      </w:r>
    </w:p>
    <w:p w14:paraId="16D7190B">
      <w:pPr>
        <w:pStyle w:val="3"/>
        <w:numPr>
          <w:ilvl w:val="0"/>
          <w:numId w:val="16"/>
        </w:numPr>
        <w:spacing w:line="360" w:lineRule="auto"/>
        <w:rPr>
          <w:sz w:val="24"/>
          <w:szCs w:val="24"/>
          <w:lang w:val="en-US"/>
        </w:rPr>
      </w:pPr>
      <w:r>
        <w:rPr>
          <w:sz w:val="24"/>
          <w:szCs w:val="24"/>
          <w:lang w:val="en-US"/>
        </w:rPr>
        <w:t xml:space="preserve">Issued by PPP UNIT to standardise general processes, risk-sharing, financial </w:t>
      </w:r>
    </w:p>
    <w:p w14:paraId="54E87969">
      <w:pPr>
        <w:pStyle w:val="3"/>
        <w:spacing w:line="360" w:lineRule="auto"/>
        <w:rPr>
          <w:sz w:val="24"/>
          <w:szCs w:val="24"/>
        </w:rPr>
      </w:pPr>
      <w:r>
        <w:rPr>
          <w:sz w:val="24"/>
          <w:szCs w:val="24"/>
          <w:lang w:val="en-US"/>
        </w:rPr>
        <w:t xml:space="preserve">       management, and stakeholder engagement.</w:t>
      </w:r>
    </w:p>
    <w:p w14:paraId="758696BF">
      <w:pPr>
        <w:pStyle w:val="3"/>
        <w:numPr>
          <w:ilvl w:val="0"/>
          <w:numId w:val="16"/>
        </w:numPr>
        <w:spacing w:line="360" w:lineRule="auto"/>
        <w:rPr>
          <w:sz w:val="24"/>
          <w:szCs w:val="24"/>
          <w:lang w:val="nl-NL"/>
        </w:rPr>
      </w:pPr>
      <w:r>
        <w:rPr>
          <w:sz w:val="24"/>
          <w:szCs w:val="24"/>
          <w:lang w:val="nl-NL"/>
        </w:rPr>
        <w:t xml:space="preserve">Nigeria's </w:t>
      </w:r>
      <w:r>
        <w:rPr>
          <w:sz w:val="24"/>
          <w:szCs w:val="24"/>
          <w:lang w:val="en-US"/>
        </w:rPr>
        <w:t>National PPP laws.</w:t>
      </w:r>
      <w:r>
        <w:rPr>
          <w:sz w:val="24"/>
          <w:szCs w:val="24"/>
        </w:rPr>
        <w:t xml:space="preserve"> </w:t>
      </w:r>
    </w:p>
    <w:p w14:paraId="475202EA">
      <w:pPr>
        <w:pStyle w:val="3"/>
        <w:numPr>
          <w:ilvl w:val="0"/>
          <w:numId w:val="16"/>
        </w:numPr>
        <w:spacing w:line="360" w:lineRule="auto"/>
        <w:rPr>
          <w:sz w:val="24"/>
          <w:szCs w:val="24"/>
        </w:rPr>
      </w:pPr>
      <w:r>
        <w:rPr>
          <w:sz w:val="24"/>
          <w:szCs w:val="24"/>
        </w:rPr>
        <w:t>ICRC 2014 Act</w:t>
      </w:r>
      <w:r>
        <w:rPr>
          <w:sz w:val="24"/>
          <w:szCs w:val="24"/>
          <w:lang w:val="en-US"/>
        </w:rPr>
        <w:t>.</w:t>
      </w:r>
      <w:r>
        <w:rPr>
          <w:sz w:val="24"/>
          <w:szCs w:val="24"/>
        </w:rPr>
        <w:t xml:space="preserve"> </w:t>
      </w:r>
    </w:p>
    <w:p w14:paraId="3046A9A5">
      <w:pPr>
        <w:pStyle w:val="3"/>
        <w:numPr>
          <w:ilvl w:val="0"/>
          <w:numId w:val="16"/>
        </w:numPr>
        <w:spacing w:line="360" w:lineRule="auto"/>
        <w:rPr>
          <w:sz w:val="24"/>
          <w:szCs w:val="24"/>
        </w:rPr>
      </w:pPr>
      <w:r>
        <w:rPr>
          <w:sz w:val="24"/>
          <w:szCs w:val="24"/>
        </w:rPr>
        <w:t>Public Procurement Act</w:t>
      </w:r>
      <w:r>
        <w:rPr>
          <w:sz w:val="24"/>
          <w:szCs w:val="24"/>
          <w:lang w:val="en-US"/>
        </w:rPr>
        <w:t>.</w:t>
      </w:r>
      <w:r>
        <w:rPr>
          <w:sz w:val="24"/>
          <w:szCs w:val="24"/>
        </w:rPr>
        <w:t xml:space="preserve"> </w:t>
      </w:r>
    </w:p>
    <w:p w14:paraId="7714AD0D">
      <w:pPr>
        <w:pStyle w:val="3"/>
        <w:numPr>
          <w:ilvl w:val="0"/>
          <w:numId w:val="16"/>
        </w:numPr>
        <w:spacing w:line="360" w:lineRule="auto"/>
        <w:rPr>
          <w:sz w:val="24"/>
          <w:szCs w:val="24"/>
        </w:rPr>
      </w:pPr>
      <w:r>
        <w:rPr>
          <w:sz w:val="24"/>
          <w:szCs w:val="24"/>
          <w:lang w:val="en-US"/>
        </w:rPr>
        <w:t>Procurement Procedure Manual</w:t>
      </w:r>
    </w:p>
    <w:p w14:paraId="21E6E23B">
      <w:pPr>
        <w:pStyle w:val="3"/>
        <w:numPr>
          <w:ilvl w:val="0"/>
          <w:numId w:val="17"/>
        </w:numPr>
        <w:spacing w:line="360" w:lineRule="auto"/>
        <w:rPr>
          <w:sz w:val="24"/>
          <w:szCs w:val="24"/>
          <w:lang w:val="en-US"/>
        </w:rPr>
      </w:pPr>
      <w:r>
        <w:rPr>
          <w:sz w:val="24"/>
          <w:szCs w:val="24"/>
          <w:lang w:val="en-US"/>
        </w:rPr>
        <w:t>Other key international PPP</w:t>
      </w:r>
      <w:r>
        <w:t xml:space="preserve"> </w:t>
      </w:r>
      <w:r>
        <w:rPr>
          <w:rFonts w:ascii="Arial Unicode MS" w:hAnsi="Arial Unicode MS" w:eastAsia="Arial Unicode MS" w:cs="Arial Unicode MS"/>
        </w:rPr>
        <w:br w:type="page"/>
      </w:r>
    </w:p>
    <w:p w14:paraId="3181A942">
      <w:pPr>
        <w:pStyle w:val="22"/>
        <w:rPr>
          <w:color w:val="535F65"/>
        </w:rPr>
      </w:pPr>
    </w:p>
    <w:p w14:paraId="564708D0">
      <w:pPr>
        <w:pStyle w:val="24"/>
        <w:rPr>
          <w:rFonts w:ascii="Helvetica Neue" w:hAnsi="Helvetica Neue" w:eastAsia="Helvetica Neue" w:cs="Helvetica Neue"/>
          <w:b/>
          <w:bCs/>
          <w:color w:val="000000"/>
        </w:rPr>
      </w:pPr>
      <w:bookmarkStart w:id="25" w:name="_Toc24"/>
      <w:r>
        <w:rPr>
          <w:rFonts w:ascii="Helvetica Neue" w:hAnsi="Helvetica Neue"/>
          <w:b/>
          <w:bCs/>
          <w:color w:val="000000"/>
          <w:lang w:val="en-US"/>
        </w:rPr>
        <w:t xml:space="preserve">5.0. criteria for selecting a ppp partner </w:t>
      </w:r>
      <w:bookmarkEnd w:id="25"/>
    </w:p>
    <w:p w14:paraId="7E2A0A78">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2DE0A7EA">
      <w:pPr>
        <w:pStyle w:val="3"/>
        <w:spacing w:line="360" w:lineRule="auto"/>
        <w:jc w:val="both"/>
        <w:rPr>
          <w:sz w:val="24"/>
          <w:szCs w:val="24"/>
        </w:rPr>
      </w:pPr>
      <w:r>
        <w:rPr>
          <w:sz w:val="24"/>
          <w:szCs w:val="24"/>
          <w:lang w:val="en-US"/>
        </w:rPr>
        <w:t xml:space="preserve">The experience and capacity of private partner are critical to the effective delivery of the outputs and outcomes of PPP projects. Consequently, contracting and engaging a private partner shall be guided by the broad criteria captured hereunder: </w:t>
      </w:r>
    </w:p>
    <w:p w14:paraId="1E967B53">
      <w:pPr>
        <w:pStyle w:val="2"/>
        <w:rPr>
          <w:color w:val="000000"/>
          <w:sz w:val="24"/>
          <w:szCs w:val="24"/>
        </w:rPr>
      </w:pPr>
    </w:p>
    <w:p w14:paraId="0E05E54A">
      <w:pPr>
        <w:pStyle w:val="2"/>
        <w:rPr>
          <w:color w:val="000000"/>
          <w:sz w:val="24"/>
          <w:szCs w:val="24"/>
        </w:rPr>
      </w:pPr>
      <w:bookmarkStart w:id="26" w:name="_Toc25"/>
      <w:r>
        <w:rPr>
          <w:color w:val="000000"/>
          <w:sz w:val="24"/>
          <w:szCs w:val="24"/>
          <w:lang w:val="en-US"/>
        </w:rPr>
        <w:t>5.1. Technical Criteria</w:t>
      </w:r>
      <w:bookmarkEnd w:id="26"/>
    </w:p>
    <w:p w14:paraId="1339FBF6">
      <w:pPr>
        <w:pStyle w:val="3"/>
        <w:spacing w:line="360" w:lineRule="auto"/>
        <w:jc w:val="both"/>
        <w:rPr>
          <w:sz w:val="24"/>
          <w:szCs w:val="24"/>
        </w:rPr>
      </w:pPr>
      <w:r>
        <w:rPr>
          <w:sz w:val="24"/>
          <w:szCs w:val="24"/>
          <w:lang w:val="en-US"/>
        </w:rPr>
        <w:t>Two key broad metrics shall be used to assess the technical capabilities of the prospective private partner by PPP Unit.  These metrics are:</w:t>
      </w:r>
    </w:p>
    <w:p w14:paraId="3283C90F">
      <w:pPr>
        <w:pStyle w:val="3"/>
        <w:numPr>
          <w:ilvl w:val="1"/>
          <w:numId w:val="18"/>
        </w:numPr>
        <w:spacing w:line="360" w:lineRule="auto"/>
        <w:jc w:val="both"/>
        <w:rPr>
          <w:sz w:val="24"/>
          <w:szCs w:val="24"/>
          <w:lang w:val="en-US"/>
        </w:rPr>
      </w:pPr>
      <w:r>
        <w:rPr>
          <w:rFonts w:ascii="Helvetica Neue" w:hAnsi="Helvetica Neue"/>
          <w:b/>
          <w:bCs/>
          <w:sz w:val="24"/>
          <w:szCs w:val="24"/>
          <w:lang w:val="en-US"/>
        </w:rPr>
        <w:t>Right Stock of Personnel:</w:t>
      </w:r>
      <w:r>
        <w:rPr>
          <w:sz w:val="24"/>
          <w:szCs w:val="24"/>
          <w:lang w:val="en-US"/>
        </w:rPr>
        <w:t xml:space="preserve"> The searchlight here shall focus on whether or not the prospective private partner has in its personnel profile the right number, caliber and mix of personnel to deliver the services they are being engaged to perform. A key consideration in this evaluation shall be the experience of the personnel garnered in similar job in the past.  </w:t>
      </w:r>
    </w:p>
    <w:p w14:paraId="04C5233D">
      <w:pPr>
        <w:pStyle w:val="3"/>
        <w:numPr>
          <w:ilvl w:val="1"/>
          <w:numId w:val="18"/>
        </w:numPr>
        <w:spacing w:line="360" w:lineRule="auto"/>
        <w:jc w:val="both"/>
        <w:rPr>
          <w:sz w:val="24"/>
          <w:szCs w:val="24"/>
          <w:lang w:val="en-US"/>
        </w:rPr>
      </w:pPr>
      <w:r>
        <w:rPr>
          <w:rFonts w:ascii="Helvetica Neue" w:hAnsi="Helvetica Neue"/>
          <w:b/>
          <w:bCs/>
          <w:sz w:val="24"/>
          <w:szCs w:val="24"/>
          <w:lang w:val="en-US"/>
        </w:rPr>
        <w:t>Technology and Equipment Fit</w:t>
      </w:r>
      <w:r>
        <w:rPr>
          <w:sz w:val="24"/>
          <w:szCs w:val="24"/>
          <w:lang w:val="en-US"/>
        </w:rPr>
        <w:t>: This criterion assesses the technological know-how and the ability of the private partner prospect possessing the right stock of equipment/facilities for the work being considered for. Part of the consideration in this regards shall be how modern the technology and equipment are in delivering effective and efficient services. There shall be also a consideration for the prospects</w:t>
      </w:r>
      <w:r>
        <w:rPr>
          <w:sz w:val="24"/>
          <w:szCs w:val="24"/>
          <w:rtl/>
        </w:rPr>
        <w:t xml:space="preserve">’ </w:t>
      </w:r>
      <w:r>
        <w:rPr>
          <w:sz w:val="24"/>
          <w:szCs w:val="24"/>
          <w:lang w:val="en-US"/>
        </w:rPr>
        <w:t xml:space="preserve">capacity for equipment servicing, maintenance and repairs. </w:t>
      </w:r>
    </w:p>
    <w:p w14:paraId="481C61F5">
      <w:pPr>
        <w:pStyle w:val="3"/>
        <w:numPr>
          <w:numId w:val="0"/>
        </w:numPr>
        <w:spacing w:line="360" w:lineRule="auto"/>
        <w:ind w:left="220" w:leftChars="0"/>
        <w:jc w:val="both"/>
        <w:rPr>
          <w:sz w:val="24"/>
          <w:szCs w:val="24"/>
          <w:lang w:val="en-US"/>
        </w:rPr>
      </w:pPr>
    </w:p>
    <w:p w14:paraId="19E58606">
      <w:pPr>
        <w:pStyle w:val="2"/>
        <w:rPr>
          <w:color w:val="000000"/>
          <w:sz w:val="24"/>
          <w:szCs w:val="24"/>
        </w:rPr>
      </w:pPr>
    </w:p>
    <w:p w14:paraId="155343C3">
      <w:pPr>
        <w:pStyle w:val="2"/>
        <w:rPr>
          <w:color w:val="000000"/>
          <w:sz w:val="24"/>
          <w:szCs w:val="24"/>
        </w:rPr>
      </w:pPr>
      <w:bookmarkStart w:id="27" w:name="_Toc26"/>
      <w:r>
        <w:rPr>
          <w:color w:val="000000"/>
          <w:sz w:val="24"/>
          <w:szCs w:val="24"/>
          <w:lang w:val="en-US"/>
        </w:rPr>
        <w:t>5.2. Financial Criteria</w:t>
      </w:r>
      <w:bookmarkEnd w:id="27"/>
    </w:p>
    <w:p w14:paraId="365B506E">
      <w:pPr>
        <w:pStyle w:val="3"/>
        <w:spacing w:line="360" w:lineRule="auto"/>
        <w:jc w:val="both"/>
        <w:rPr>
          <w:sz w:val="24"/>
          <w:szCs w:val="24"/>
        </w:rPr>
      </w:pPr>
      <w:r>
        <w:rPr>
          <w:sz w:val="24"/>
          <w:szCs w:val="24"/>
          <w:lang w:val="en-US"/>
        </w:rPr>
        <w:t>There are basically two criteria that shall be used to assess the prospective private partner:</w:t>
      </w:r>
    </w:p>
    <w:p w14:paraId="68295577">
      <w:pPr>
        <w:pStyle w:val="3"/>
        <w:numPr>
          <w:ilvl w:val="0"/>
          <w:numId w:val="19"/>
        </w:numPr>
        <w:spacing w:line="360" w:lineRule="auto"/>
        <w:jc w:val="both"/>
        <w:rPr>
          <w:sz w:val="24"/>
          <w:szCs w:val="24"/>
          <w:lang w:val="en-US"/>
        </w:rPr>
      </w:pPr>
      <w:r>
        <w:rPr>
          <w:b/>
          <w:bCs/>
          <w:sz w:val="24"/>
          <w:szCs w:val="24"/>
          <w:lang w:val="en-US"/>
        </w:rPr>
        <w:t>The firm</w:t>
      </w:r>
      <w:r>
        <w:rPr>
          <w:b/>
          <w:bCs/>
          <w:sz w:val="24"/>
          <w:szCs w:val="24"/>
          <w:rtl/>
        </w:rPr>
        <w:t>’</w:t>
      </w:r>
      <w:r>
        <w:rPr>
          <w:b/>
          <w:bCs/>
          <w:sz w:val="24"/>
          <w:szCs w:val="24"/>
          <w:lang w:val="en-US"/>
        </w:rPr>
        <w:t>s operational financial capacity</w:t>
      </w:r>
      <w:r>
        <w:rPr>
          <w:rFonts w:hint="default"/>
          <w:b/>
          <w:bCs/>
          <w:sz w:val="24"/>
          <w:szCs w:val="24"/>
          <w:lang w:val="en-US"/>
        </w:rPr>
        <w:t>:</w:t>
      </w:r>
      <w:r>
        <w:rPr>
          <w:sz w:val="24"/>
          <w:szCs w:val="24"/>
          <w:lang w:val="en-US"/>
        </w:rPr>
        <w:t xml:space="preserve"> This criterion assesses the prospective private partner</w:t>
      </w:r>
      <w:r>
        <w:rPr>
          <w:sz w:val="24"/>
          <w:szCs w:val="24"/>
          <w:rtl/>
        </w:rPr>
        <w:t>’</w:t>
      </w:r>
      <w:r>
        <w:rPr>
          <w:sz w:val="24"/>
          <w:szCs w:val="24"/>
          <w:lang w:val="en-US"/>
        </w:rPr>
        <w:t>s financial capacity to execute the business being considered for. The key searchlight shall be on the organisational turnover, cash flow, profit and loss</w:t>
      </w:r>
      <w:r>
        <w:rPr>
          <w:rFonts w:hint="default"/>
          <w:sz w:val="24"/>
          <w:szCs w:val="24"/>
          <w:lang w:val="en-US"/>
        </w:rPr>
        <w:t>,</w:t>
      </w:r>
      <w:r>
        <w:rPr>
          <w:sz w:val="24"/>
          <w:szCs w:val="24"/>
          <w:lang w:val="en-US"/>
        </w:rPr>
        <w:t xml:space="preserve"> and balance sheet. </w:t>
      </w:r>
    </w:p>
    <w:p w14:paraId="14C09757">
      <w:pPr>
        <w:pStyle w:val="3"/>
        <w:numPr>
          <w:ilvl w:val="0"/>
          <w:numId w:val="19"/>
        </w:numPr>
        <w:spacing w:line="360" w:lineRule="auto"/>
        <w:jc w:val="both"/>
        <w:rPr>
          <w:sz w:val="24"/>
          <w:szCs w:val="24"/>
          <w:lang w:val="en-US"/>
        </w:rPr>
      </w:pPr>
      <w:r>
        <w:rPr>
          <w:b/>
          <w:bCs/>
          <w:sz w:val="24"/>
          <w:szCs w:val="24"/>
          <w:lang w:val="en-US"/>
        </w:rPr>
        <w:t xml:space="preserve">Ability to raise fund from financial institution: </w:t>
      </w:r>
      <w:r>
        <w:rPr>
          <w:sz w:val="24"/>
          <w:szCs w:val="24"/>
          <w:lang w:val="en-US"/>
        </w:rPr>
        <w:t xml:space="preserve">  This criterion evaluates the ability of the private organisation to raise funds from financial institutions. Attention shall be on the prospects past credit history and present level of loan exposure and indebtedness. Aside evidence based credit history from well-known financial institutions, the prospective private partner shall be required to obtain necessary performance and insurance bonds commensurate to the level of projects being considered for. </w:t>
      </w:r>
    </w:p>
    <w:p w14:paraId="3B7AA7AB">
      <w:pPr>
        <w:pStyle w:val="23"/>
      </w:pPr>
      <w:r>
        <w:rPr>
          <w:rFonts w:ascii="Arial Unicode MS" w:hAnsi="Arial Unicode MS" w:eastAsia="Arial Unicode MS" w:cs="Arial Unicode MS"/>
        </w:rPr>
        <w:br w:type="page"/>
      </w:r>
    </w:p>
    <w:p w14:paraId="6B7F1466">
      <w:pPr>
        <w:pStyle w:val="23"/>
        <w:rPr>
          <w:rFonts w:ascii="Helvetica Neue" w:hAnsi="Helvetica Neue" w:eastAsia="Helvetica Neue" w:cs="Helvetica Neue"/>
          <w:b/>
          <w:bCs/>
        </w:rPr>
      </w:pPr>
    </w:p>
    <w:p w14:paraId="053E7FA0">
      <w:pPr>
        <w:pStyle w:val="22"/>
        <w:rPr>
          <w:color w:val="535F65"/>
        </w:rPr>
      </w:pPr>
    </w:p>
    <w:p w14:paraId="49B2C643">
      <w:pPr>
        <w:pStyle w:val="24"/>
        <w:rPr>
          <w:rFonts w:ascii="Helvetica Neue" w:hAnsi="Helvetica Neue" w:eastAsia="Helvetica Neue" w:cs="Helvetica Neue"/>
          <w:b/>
          <w:bCs/>
          <w:color w:val="000000"/>
        </w:rPr>
      </w:pPr>
      <w:bookmarkStart w:id="28" w:name="_Toc27"/>
      <w:r>
        <w:rPr>
          <w:rFonts w:ascii="Helvetica Neue" w:hAnsi="Helvetica Neue"/>
          <w:b/>
          <w:bCs/>
          <w:color w:val="000000"/>
          <w:lang w:val="en-US"/>
        </w:rPr>
        <w:t xml:space="preserve">6.0. institutional and organisational framework for ppp </w:t>
      </w:r>
      <w:bookmarkEnd w:id="28"/>
    </w:p>
    <w:p w14:paraId="6A6CC776">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6A2CF2E0">
      <w:pPr>
        <w:pStyle w:val="3"/>
        <w:spacing w:line="360" w:lineRule="auto"/>
        <w:jc w:val="both"/>
        <w:rPr>
          <w:sz w:val="24"/>
          <w:szCs w:val="24"/>
        </w:rPr>
      </w:pPr>
      <w:r>
        <w:rPr>
          <w:sz w:val="24"/>
          <w:szCs w:val="24"/>
          <w:lang w:val="en-US"/>
        </w:rPr>
        <w:t xml:space="preserve">The institutional framework for PPPs in UNN assigns clear roles and responsibilities to various stakeholders to ensure effective governance and implementations. The key stakeholders involved are:  </w:t>
      </w:r>
    </w:p>
    <w:p w14:paraId="596E62A0">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tbl>
      <w:tblPr>
        <w:tblStyle w:val="6"/>
        <w:tblW w:w="7920" w:type="dxa"/>
        <w:tblInd w:w="1548" w:type="dxa"/>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Layout w:type="fixed"/>
        <w:tblCellMar>
          <w:top w:w="0" w:type="dxa"/>
          <w:left w:w="108" w:type="dxa"/>
          <w:bottom w:w="0" w:type="dxa"/>
          <w:right w:w="108" w:type="dxa"/>
        </w:tblCellMar>
      </w:tblPr>
      <w:tblGrid>
        <w:gridCol w:w="1200"/>
        <w:gridCol w:w="2674"/>
        <w:gridCol w:w="4046"/>
      </w:tblGrid>
      <w:tr w14:paraId="148798A7">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01" w:hRule="atLeast"/>
        </w:trPr>
        <w:tc>
          <w:tcPr>
            <w:tcW w:w="1200" w:type="dxa"/>
            <w:tcBorders>
              <w:top w:val="nil"/>
              <w:left w:val="nil"/>
              <w:bottom w:val="dotted" w:color="919191" w:sz="6" w:space="0"/>
              <w:right w:val="single" w:color="919191" w:sz="2" w:space="0"/>
            </w:tcBorders>
            <w:shd w:val="clear" w:color="auto" w:fill="000000"/>
            <w:tcMar>
              <w:top w:w="180" w:type="dxa"/>
              <w:left w:w="180" w:type="dxa"/>
              <w:bottom w:w="180" w:type="dxa"/>
              <w:right w:w="320" w:type="dxa"/>
            </w:tcMar>
          </w:tcPr>
          <w:p w14:paraId="7ACA7980">
            <w:pPr>
              <w:pStyle w:val="26"/>
              <w:tabs>
                <w:tab w:val="left" w:pos="560"/>
                <w:tab w:val="left" w:pos="1120"/>
              </w:tabs>
              <w:spacing w:line="360" w:lineRule="auto"/>
              <w:ind w:right="140"/>
            </w:pPr>
            <w:r>
              <w:rPr>
                <w:rFonts w:ascii="Helvetica Neue" w:hAnsi="Helvetica Neue"/>
                <w:b/>
                <w:bCs/>
                <w:color w:val="FFFFFF"/>
                <w:sz w:val="24"/>
                <w:szCs w:val="24"/>
              </w:rPr>
              <w:t>S/NO</w:t>
            </w:r>
          </w:p>
        </w:tc>
        <w:tc>
          <w:tcPr>
            <w:tcW w:w="2674" w:type="dxa"/>
            <w:tcBorders>
              <w:top w:val="nil"/>
              <w:left w:val="single" w:color="919191" w:sz="2" w:space="0"/>
              <w:bottom w:val="dotted" w:color="919191" w:sz="6" w:space="0"/>
              <w:right w:val="single" w:color="919191" w:sz="2" w:space="0"/>
            </w:tcBorders>
            <w:shd w:val="clear" w:color="auto" w:fill="000000"/>
            <w:tcMar>
              <w:top w:w="180" w:type="dxa"/>
              <w:left w:w="180" w:type="dxa"/>
              <w:bottom w:w="180" w:type="dxa"/>
              <w:right w:w="320" w:type="dxa"/>
            </w:tcMar>
          </w:tcPr>
          <w:p w14:paraId="44A41A7C">
            <w:pPr>
              <w:pStyle w:val="26"/>
              <w:tabs>
                <w:tab w:val="left" w:pos="560"/>
                <w:tab w:val="left" w:pos="1120"/>
                <w:tab w:val="left" w:pos="1680"/>
                <w:tab w:val="left" w:pos="2240"/>
              </w:tabs>
              <w:spacing w:line="360" w:lineRule="auto"/>
              <w:ind w:right="140"/>
              <w:jc w:val="both"/>
            </w:pPr>
            <w:r>
              <w:rPr>
                <w:rFonts w:ascii="Helvetica Neue" w:hAnsi="Helvetica Neue"/>
                <w:b/>
                <w:bCs/>
                <w:color w:val="FFFFFF"/>
                <w:sz w:val="24"/>
                <w:szCs w:val="24"/>
              </w:rPr>
              <w:t>STAKEHOLDERS</w:t>
            </w:r>
          </w:p>
        </w:tc>
        <w:tc>
          <w:tcPr>
            <w:tcW w:w="4045" w:type="dxa"/>
            <w:tcBorders>
              <w:top w:val="nil"/>
              <w:left w:val="single" w:color="919191" w:sz="2" w:space="0"/>
              <w:bottom w:val="dotted" w:color="919191" w:sz="6" w:space="0"/>
              <w:right w:val="nil"/>
            </w:tcBorders>
            <w:shd w:val="clear" w:color="auto" w:fill="000000"/>
            <w:tcMar>
              <w:top w:w="180" w:type="dxa"/>
              <w:left w:w="180" w:type="dxa"/>
              <w:bottom w:w="180" w:type="dxa"/>
              <w:right w:w="320" w:type="dxa"/>
            </w:tcMar>
          </w:tcPr>
          <w:p w14:paraId="6698F1F8">
            <w:pPr>
              <w:pStyle w:val="26"/>
              <w:tabs>
                <w:tab w:val="left" w:pos="560"/>
                <w:tab w:val="left" w:pos="1120"/>
                <w:tab w:val="left" w:pos="1680"/>
                <w:tab w:val="left" w:pos="2240"/>
                <w:tab w:val="left" w:pos="2800"/>
                <w:tab w:val="left" w:pos="3360"/>
                <w:tab w:val="left" w:pos="3920"/>
              </w:tabs>
              <w:spacing w:line="360" w:lineRule="auto"/>
              <w:ind w:right="140"/>
              <w:jc w:val="both"/>
            </w:pPr>
            <w:r>
              <w:rPr>
                <w:rFonts w:ascii="Helvetica Neue" w:hAnsi="Helvetica Neue"/>
                <w:b/>
                <w:bCs/>
                <w:color w:val="FFFFFF"/>
                <w:sz w:val="24"/>
                <w:szCs w:val="24"/>
              </w:rPr>
              <w:t>RESPONSIBILITIES</w:t>
            </w:r>
          </w:p>
        </w:tc>
      </w:tr>
      <w:tr w14:paraId="1856AF7F">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434" w:hRule="atLeast"/>
        </w:trPr>
        <w:tc>
          <w:tcPr>
            <w:tcW w:w="1200" w:type="dxa"/>
            <w:tcBorders>
              <w:top w:val="dotted" w:color="919191" w:sz="6" w:space="0"/>
              <w:left w:val="nil"/>
              <w:bottom w:val="dotted" w:color="919191" w:sz="6" w:space="0"/>
              <w:right w:val="single" w:color="919191" w:sz="2" w:space="0"/>
            </w:tcBorders>
            <w:shd w:val="clear" w:color="auto" w:fill="EEEEEE"/>
            <w:tcMar>
              <w:top w:w="180" w:type="dxa"/>
              <w:left w:w="180" w:type="dxa"/>
              <w:bottom w:w="180" w:type="dxa"/>
              <w:right w:w="320" w:type="dxa"/>
            </w:tcMar>
          </w:tcPr>
          <w:p w14:paraId="30F8052D">
            <w:pPr>
              <w:pStyle w:val="26"/>
              <w:tabs>
                <w:tab w:val="left" w:pos="560"/>
                <w:tab w:val="left" w:pos="1120"/>
              </w:tabs>
              <w:spacing w:line="360" w:lineRule="auto"/>
              <w:ind w:right="140"/>
            </w:pPr>
            <w:r>
              <w:rPr>
                <w:sz w:val="24"/>
                <w:szCs w:val="24"/>
              </w:rPr>
              <w:t>1</w:t>
            </w:r>
          </w:p>
        </w:tc>
        <w:tc>
          <w:tcPr>
            <w:tcW w:w="2674" w:type="dxa"/>
            <w:tcBorders>
              <w:top w:val="dotted" w:color="919191" w:sz="6" w:space="0"/>
              <w:left w:val="single" w:color="919191" w:sz="2" w:space="0"/>
              <w:bottom w:val="dotted" w:color="919191" w:sz="6" w:space="0"/>
              <w:right w:val="single" w:color="919191" w:sz="2" w:space="0"/>
            </w:tcBorders>
            <w:shd w:val="clear" w:color="auto" w:fill="EEEEEE"/>
            <w:tcMar>
              <w:top w:w="180" w:type="dxa"/>
              <w:left w:w="180" w:type="dxa"/>
              <w:bottom w:w="180" w:type="dxa"/>
              <w:right w:w="320" w:type="dxa"/>
            </w:tcMar>
          </w:tcPr>
          <w:p w14:paraId="35EB6644">
            <w:pPr>
              <w:pStyle w:val="26"/>
              <w:tabs>
                <w:tab w:val="left" w:pos="560"/>
                <w:tab w:val="left" w:pos="1120"/>
                <w:tab w:val="left" w:pos="1680"/>
                <w:tab w:val="left" w:pos="2240"/>
              </w:tabs>
              <w:spacing w:line="360" w:lineRule="auto"/>
              <w:ind w:right="140"/>
              <w:jc w:val="both"/>
            </w:pPr>
            <w:r>
              <w:rPr>
                <w:rFonts w:ascii="Helvetica Neue" w:hAnsi="Helvetica Neue"/>
                <w:b/>
                <w:bCs/>
                <w:sz w:val="24"/>
                <w:szCs w:val="24"/>
              </w:rPr>
              <w:t>University Council</w:t>
            </w:r>
          </w:p>
        </w:tc>
        <w:tc>
          <w:tcPr>
            <w:tcW w:w="4045" w:type="dxa"/>
            <w:tcBorders>
              <w:top w:val="dotted" w:color="919191" w:sz="6" w:space="0"/>
              <w:left w:val="single" w:color="919191" w:sz="2" w:space="0"/>
              <w:bottom w:val="dotted" w:color="919191" w:sz="6" w:space="0"/>
              <w:right w:val="nil"/>
            </w:tcBorders>
            <w:shd w:val="clear" w:color="auto" w:fill="EEEEEE"/>
            <w:tcMar>
              <w:top w:w="180" w:type="dxa"/>
              <w:left w:w="1620" w:type="dxa"/>
              <w:bottom w:w="180" w:type="dxa"/>
              <w:right w:w="320" w:type="dxa"/>
            </w:tcMar>
          </w:tcPr>
          <w:p w14:paraId="22BF0D28">
            <w:pPr>
              <w:pStyle w:val="26"/>
              <w:numPr>
                <w:ilvl w:val="1"/>
                <w:numId w:val="20"/>
              </w:numPr>
              <w:spacing w:line="360" w:lineRule="auto"/>
              <w:ind w:right="283"/>
              <w:jc w:val="both"/>
              <w:rPr>
                <w:sz w:val="24"/>
                <w:szCs w:val="24"/>
                <w:lang w:val="en-US"/>
              </w:rPr>
            </w:pPr>
            <w:r>
              <w:rPr>
                <w:sz w:val="24"/>
                <w:szCs w:val="24"/>
                <w:lang w:val="en-US"/>
              </w:rPr>
              <w:t>Oversee PPP policies and engagement</w:t>
            </w:r>
          </w:p>
          <w:p w14:paraId="166871D4">
            <w:pPr>
              <w:pStyle w:val="26"/>
              <w:numPr>
                <w:ilvl w:val="1"/>
                <w:numId w:val="20"/>
              </w:numPr>
              <w:spacing w:line="360" w:lineRule="auto"/>
              <w:ind w:right="283"/>
              <w:jc w:val="both"/>
              <w:rPr>
                <w:sz w:val="24"/>
                <w:szCs w:val="24"/>
                <w:lang w:val="en-US"/>
              </w:rPr>
            </w:pPr>
            <w:r>
              <w:rPr>
                <w:sz w:val="24"/>
                <w:szCs w:val="24"/>
                <w:lang w:val="en-US"/>
              </w:rPr>
              <w:t>Approve resources to support PPP initiatives</w:t>
            </w:r>
          </w:p>
          <w:p w14:paraId="3FE391A1">
            <w:pPr>
              <w:pStyle w:val="26"/>
              <w:numPr>
                <w:ilvl w:val="1"/>
                <w:numId w:val="20"/>
              </w:numPr>
              <w:spacing w:line="360" w:lineRule="auto"/>
              <w:ind w:right="283"/>
              <w:jc w:val="both"/>
              <w:rPr>
                <w:sz w:val="24"/>
                <w:szCs w:val="24"/>
                <w:lang w:val="en-US"/>
              </w:rPr>
            </w:pPr>
            <w:r>
              <w:rPr>
                <w:sz w:val="24"/>
                <w:szCs w:val="24"/>
                <w:lang w:val="en-US"/>
              </w:rPr>
              <w:t>Ensure that PPP projects are implemented in line with the university policies through oversight functions</w:t>
            </w:r>
          </w:p>
        </w:tc>
      </w:tr>
      <w:tr w14:paraId="3AB77049">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6113" w:hRule="atLeast"/>
        </w:trPr>
        <w:tc>
          <w:tcPr>
            <w:tcW w:w="1200" w:type="dxa"/>
            <w:tcBorders>
              <w:top w:val="dotted" w:color="919191" w:sz="6" w:space="0"/>
              <w:left w:val="nil"/>
              <w:bottom w:val="dotted" w:color="919191" w:sz="6" w:space="0"/>
              <w:right w:val="single" w:color="919191" w:sz="2" w:space="0"/>
            </w:tcBorders>
            <w:tcMar>
              <w:top w:w="180" w:type="dxa"/>
              <w:left w:w="180" w:type="dxa"/>
              <w:bottom w:w="180" w:type="dxa"/>
              <w:right w:w="320" w:type="dxa"/>
            </w:tcMar>
          </w:tcPr>
          <w:p w14:paraId="50976517">
            <w:pPr>
              <w:pStyle w:val="26"/>
              <w:tabs>
                <w:tab w:val="left" w:pos="560"/>
                <w:tab w:val="left" w:pos="1120"/>
              </w:tabs>
              <w:spacing w:line="360" w:lineRule="auto"/>
              <w:ind w:right="140"/>
            </w:pPr>
            <w:r>
              <w:rPr>
                <w:sz w:val="24"/>
                <w:szCs w:val="24"/>
              </w:rPr>
              <w:t>2</w:t>
            </w:r>
          </w:p>
        </w:tc>
        <w:tc>
          <w:tcPr>
            <w:tcW w:w="2674" w:type="dxa"/>
            <w:tcBorders>
              <w:top w:val="dotted" w:color="919191" w:sz="6" w:space="0"/>
              <w:left w:val="single" w:color="919191" w:sz="2" w:space="0"/>
              <w:bottom w:val="dotted" w:color="919191" w:sz="6" w:space="0"/>
              <w:right w:val="single" w:color="919191" w:sz="2" w:space="0"/>
            </w:tcBorders>
            <w:tcMar>
              <w:top w:w="180" w:type="dxa"/>
              <w:left w:w="180" w:type="dxa"/>
              <w:bottom w:w="180" w:type="dxa"/>
              <w:right w:w="320" w:type="dxa"/>
            </w:tcMar>
          </w:tcPr>
          <w:p w14:paraId="5B0E07E8">
            <w:pPr>
              <w:pStyle w:val="26"/>
              <w:tabs>
                <w:tab w:val="left" w:pos="560"/>
                <w:tab w:val="left" w:pos="1120"/>
                <w:tab w:val="left" w:pos="1680"/>
                <w:tab w:val="left" w:pos="2240"/>
              </w:tabs>
              <w:spacing w:line="360" w:lineRule="auto"/>
              <w:ind w:right="140"/>
              <w:jc w:val="both"/>
            </w:pPr>
            <w:r>
              <w:rPr>
                <w:rFonts w:ascii="Helvetica Neue" w:hAnsi="Helvetica Neue"/>
                <w:b/>
                <w:bCs/>
                <w:sz w:val="24"/>
                <w:szCs w:val="24"/>
              </w:rPr>
              <w:t>University Management</w:t>
            </w:r>
          </w:p>
        </w:tc>
        <w:tc>
          <w:tcPr>
            <w:tcW w:w="4045" w:type="dxa"/>
            <w:tcBorders>
              <w:top w:val="dotted" w:color="919191" w:sz="6" w:space="0"/>
              <w:left w:val="single" w:color="919191" w:sz="2" w:space="0"/>
              <w:bottom w:val="dotted" w:color="919191" w:sz="6" w:space="0"/>
              <w:right w:val="nil"/>
            </w:tcBorders>
            <w:tcMar>
              <w:top w:w="180" w:type="dxa"/>
              <w:left w:w="1620" w:type="dxa"/>
              <w:bottom w:w="180" w:type="dxa"/>
              <w:right w:w="320" w:type="dxa"/>
            </w:tcMar>
          </w:tcPr>
          <w:p w14:paraId="44524658">
            <w:pPr>
              <w:pStyle w:val="26"/>
              <w:numPr>
                <w:ilvl w:val="0"/>
                <w:numId w:val="21"/>
              </w:numPr>
              <w:spacing w:line="360" w:lineRule="auto"/>
              <w:ind w:right="140"/>
              <w:jc w:val="both"/>
              <w:rPr>
                <w:sz w:val="24"/>
                <w:szCs w:val="24"/>
                <w:lang w:val="en-US"/>
              </w:rPr>
            </w:pPr>
            <w:r>
              <w:rPr>
                <w:sz w:val="24"/>
                <w:szCs w:val="24"/>
                <w:lang w:val="en-US"/>
              </w:rPr>
              <w:t>Establish a PPP UNIT to carry out all PPP responsibilities on its behalf to ensure appropriate checks and balances in the process, as well as oversight of the decision-making process and the implementation of the PPP process from the beginning to the end.</w:t>
            </w:r>
          </w:p>
          <w:p w14:paraId="23616980">
            <w:pPr>
              <w:pStyle w:val="26"/>
              <w:numPr>
                <w:ilvl w:val="0"/>
                <w:numId w:val="21"/>
              </w:numPr>
              <w:spacing w:line="360" w:lineRule="auto"/>
              <w:ind w:right="140"/>
              <w:jc w:val="both"/>
              <w:rPr>
                <w:sz w:val="24"/>
                <w:szCs w:val="24"/>
                <w:lang w:val="en-US"/>
              </w:rPr>
            </w:pPr>
            <w:r>
              <w:rPr>
                <w:sz w:val="24"/>
                <w:szCs w:val="24"/>
                <w:lang w:val="en-US"/>
              </w:rPr>
              <w:t>Ensure compliance with standards</w:t>
            </w:r>
          </w:p>
          <w:p w14:paraId="6B190A92">
            <w:pPr>
              <w:pStyle w:val="26"/>
              <w:numPr>
                <w:ilvl w:val="0"/>
                <w:numId w:val="21"/>
              </w:numPr>
              <w:spacing w:line="360" w:lineRule="auto"/>
              <w:ind w:right="140"/>
              <w:jc w:val="both"/>
              <w:rPr>
                <w:sz w:val="24"/>
                <w:szCs w:val="24"/>
                <w:lang w:val="en-US"/>
              </w:rPr>
            </w:pPr>
            <w:r>
              <w:rPr>
                <w:sz w:val="24"/>
                <w:szCs w:val="24"/>
                <w:lang w:val="en-US"/>
              </w:rPr>
              <w:t>Provide resources to support PPP implementation</w:t>
            </w:r>
          </w:p>
        </w:tc>
      </w:tr>
      <w:tr w14:paraId="3F9A058B">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4773" w:hRule="atLeast"/>
        </w:trPr>
        <w:tc>
          <w:tcPr>
            <w:tcW w:w="1200" w:type="dxa"/>
            <w:tcBorders>
              <w:top w:val="dotted" w:color="919191" w:sz="6" w:space="0"/>
              <w:left w:val="nil"/>
              <w:bottom w:val="dotted" w:color="919191" w:sz="6" w:space="0"/>
              <w:right w:val="single" w:color="919191" w:sz="2" w:space="0"/>
            </w:tcBorders>
            <w:shd w:val="clear" w:color="auto" w:fill="EEEEEE"/>
            <w:tcMar>
              <w:top w:w="180" w:type="dxa"/>
              <w:left w:w="180" w:type="dxa"/>
              <w:bottom w:w="180" w:type="dxa"/>
              <w:right w:w="320" w:type="dxa"/>
            </w:tcMar>
          </w:tcPr>
          <w:p w14:paraId="2A5B73EB">
            <w:pPr>
              <w:pStyle w:val="26"/>
              <w:tabs>
                <w:tab w:val="left" w:pos="560"/>
                <w:tab w:val="left" w:pos="1120"/>
              </w:tabs>
              <w:spacing w:line="360" w:lineRule="auto"/>
              <w:ind w:right="140"/>
            </w:pPr>
            <w:r>
              <w:rPr>
                <w:sz w:val="24"/>
                <w:szCs w:val="24"/>
              </w:rPr>
              <w:t>3</w:t>
            </w:r>
          </w:p>
        </w:tc>
        <w:tc>
          <w:tcPr>
            <w:tcW w:w="2674" w:type="dxa"/>
            <w:tcBorders>
              <w:top w:val="dotted" w:color="919191" w:sz="6" w:space="0"/>
              <w:left w:val="single" w:color="919191" w:sz="2" w:space="0"/>
              <w:bottom w:val="dotted" w:color="919191" w:sz="6" w:space="0"/>
              <w:right w:val="single" w:color="919191" w:sz="2" w:space="0"/>
            </w:tcBorders>
            <w:shd w:val="clear" w:color="auto" w:fill="EEEEEE"/>
            <w:tcMar>
              <w:top w:w="180" w:type="dxa"/>
              <w:left w:w="180" w:type="dxa"/>
              <w:bottom w:w="180" w:type="dxa"/>
              <w:right w:w="320" w:type="dxa"/>
            </w:tcMar>
          </w:tcPr>
          <w:p w14:paraId="117AB838">
            <w:pPr>
              <w:pStyle w:val="26"/>
              <w:tabs>
                <w:tab w:val="left" w:pos="560"/>
                <w:tab w:val="left" w:pos="1120"/>
                <w:tab w:val="left" w:pos="1680"/>
                <w:tab w:val="left" w:pos="2240"/>
              </w:tabs>
              <w:spacing w:line="360" w:lineRule="auto"/>
              <w:ind w:right="140"/>
              <w:jc w:val="both"/>
            </w:pPr>
            <w:r>
              <w:rPr>
                <w:rFonts w:ascii="Helvetica Neue" w:hAnsi="Helvetica Neue"/>
                <w:b/>
                <w:bCs/>
                <w:sz w:val="24"/>
                <w:szCs w:val="24"/>
              </w:rPr>
              <w:t>Public-Private Partnership (PPP UNIT)</w:t>
            </w:r>
          </w:p>
        </w:tc>
        <w:tc>
          <w:tcPr>
            <w:tcW w:w="4045" w:type="dxa"/>
            <w:tcBorders>
              <w:top w:val="dotted" w:color="919191" w:sz="6" w:space="0"/>
              <w:left w:val="single" w:color="919191" w:sz="2" w:space="0"/>
              <w:bottom w:val="dotted" w:color="919191" w:sz="6" w:space="0"/>
              <w:right w:val="nil"/>
            </w:tcBorders>
            <w:shd w:val="clear" w:color="auto" w:fill="EEEEEE"/>
            <w:tcMar>
              <w:top w:w="180" w:type="dxa"/>
              <w:left w:w="203" w:type="dxa"/>
              <w:bottom w:w="180" w:type="dxa"/>
              <w:right w:w="180" w:type="dxa"/>
            </w:tcMar>
          </w:tcPr>
          <w:p w14:paraId="2BF9F883">
            <w:pPr>
              <w:pStyle w:val="26"/>
              <w:numPr>
                <w:ilvl w:val="1"/>
                <w:numId w:val="22"/>
              </w:numPr>
              <w:spacing w:line="360" w:lineRule="auto"/>
              <w:jc w:val="both"/>
              <w:rPr>
                <w:sz w:val="24"/>
                <w:szCs w:val="24"/>
                <w:lang w:val="en-US"/>
              </w:rPr>
            </w:pPr>
            <w:r>
              <w:rPr>
                <w:sz w:val="24"/>
                <w:szCs w:val="24"/>
                <w:lang w:val="en-US"/>
              </w:rPr>
              <w:t>Policy formulation and coordination.</w:t>
            </w:r>
          </w:p>
          <w:p w14:paraId="2FBF8DF6">
            <w:pPr>
              <w:pStyle w:val="26"/>
              <w:numPr>
                <w:ilvl w:val="1"/>
                <w:numId w:val="22"/>
              </w:numPr>
              <w:spacing w:line="360" w:lineRule="auto"/>
              <w:jc w:val="both"/>
              <w:rPr>
                <w:sz w:val="24"/>
                <w:szCs w:val="24"/>
                <w:lang w:val="en-US"/>
              </w:rPr>
            </w:pPr>
            <w:r>
              <w:rPr>
                <w:sz w:val="24"/>
                <w:szCs w:val="24"/>
                <w:lang w:val="en-US"/>
              </w:rPr>
              <w:t>Quality Control.</w:t>
            </w:r>
          </w:p>
          <w:p w14:paraId="62B5DE12">
            <w:pPr>
              <w:pStyle w:val="26"/>
              <w:numPr>
                <w:ilvl w:val="1"/>
                <w:numId w:val="22"/>
              </w:numPr>
              <w:spacing w:line="360" w:lineRule="auto"/>
              <w:jc w:val="both"/>
              <w:rPr>
                <w:sz w:val="24"/>
                <w:szCs w:val="24"/>
                <w:lang w:val="en-US"/>
              </w:rPr>
            </w:pPr>
            <w:r>
              <w:rPr>
                <w:sz w:val="24"/>
                <w:szCs w:val="24"/>
                <w:lang w:val="en-US"/>
              </w:rPr>
              <w:t>Technical assistance.</w:t>
            </w:r>
          </w:p>
          <w:p w14:paraId="76155238">
            <w:pPr>
              <w:pStyle w:val="26"/>
              <w:numPr>
                <w:ilvl w:val="1"/>
                <w:numId w:val="22"/>
              </w:numPr>
              <w:spacing w:line="360" w:lineRule="auto"/>
              <w:jc w:val="both"/>
              <w:rPr>
                <w:sz w:val="24"/>
                <w:szCs w:val="24"/>
                <w:lang w:val="en-US"/>
              </w:rPr>
            </w:pPr>
            <w:r>
              <w:rPr>
                <w:sz w:val="24"/>
                <w:szCs w:val="24"/>
                <w:lang w:val="en-US"/>
              </w:rPr>
              <w:t>Promote/market PPPs</w:t>
            </w:r>
          </w:p>
          <w:p w14:paraId="2B002DF3">
            <w:pPr>
              <w:pStyle w:val="26"/>
              <w:numPr>
                <w:ilvl w:val="1"/>
                <w:numId w:val="22"/>
              </w:numPr>
              <w:spacing w:line="360" w:lineRule="auto"/>
              <w:jc w:val="both"/>
              <w:rPr>
                <w:sz w:val="24"/>
                <w:szCs w:val="24"/>
                <w:lang w:val="en-US"/>
              </w:rPr>
            </w:pPr>
            <w:r>
              <w:rPr>
                <w:sz w:val="24"/>
                <w:szCs w:val="24"/>
                <w:lang w:val="en-US"/>
              </w:rPr>
              <w:t>Deliver comprehensive PPP training programmes for staff capacity building.</w:t>
            </w:r>
          </w:p>
          <w:p w14:paraId="40EF83A4">
            <w:pPr>
              <w:pStyle w:val="26"/>
              <w:numPr>
                <w:ilvl w:val="1"/>
                <w:numId w:val="22"/>
              </w:numPr>
              <w:spacing w:line="360" w:lineRule="auto"/>
              <w:jc w:val="both"/>
              <w:rPr>
                <w:sz w:val="24"/>
                <w:szCs w:val="24"/>
                <w:lang w:val="en-US"/>
              </w:rPr>
            </w:pPr>
            <w:r>
              <w:rPr>
                <w:sz w:val="24"/>
                <w:szCs w:val="24"/>
                <w:lang w:val="en-US"/>
              </w:rPr>
              <w:t>And all other responsibilities established in PPP UNIT Functions.</w:t>
            </w:r>
          </w:p>
        </w:tc>
      </w:tr>
      <w:tr w14:paraId="4B42A903">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987" w:hRule="atLeast"/>
        </w:trPr>
        <w:tc>
          <w:tcPr>
            <w:tcW w:w="1200" w:type="dxa"/>
            <w:tcBorders>
              <w:top w:val="dotted" w:color="919191" w:sz="6" w:space="0"/>
              <w:left w:val="nil"/>
              <w:bottom w:val="dotted" w:color="919191" w:sz="6" w:space="0"/>
              <w:right w:val="single" w:color="919191" w:sz="2" w:space="0"/>
            </w:tcBorders>
            <w:tcMar>
              <w:top w:w="180" w:type="dxa"/>
              <w:left w:w="180" w:type="dxa"/>
              <w:bottom w:w="180" w:type="dxa"/>
              <w:right w:w="320" w:type="dxa"/>
            </w:tcMar>
          </w:tcPr>
          <w:p w14:paraId="12D36C9B">
            <w:pPr>
              <w:pStyle w:val="26"/>
              <w:tabs>
                <w:tab w:val="left" w:pos="560"/>
                <w:tab w:val="left" w:pos="1120"/>
              </w:tabs>
              <w:spacing w:line="360" w:lineRule="auto"/>
              <w:ind w:right="140"/>
            </w:pPr>
            <w:r>
              <w:rPr>
                <w:sz w:val="24"/>
                <w:szCs w:val="24"/>
              </w:rPr>
              <w:t>4</w:t>
            </w:r>
          </w:p>
        </w:tc>
        <w:tc>
          <w:tcPr>
            <w:tcW w:w="2674" w:type="dxa"/>
            <w:tcBorders>
              <w:top w:val="dotted" w:color="919191" w:sz="6" w:space="0"/>
              <w:left w:val="single" w:color="919191" w:sz="2" w:space="0"/>
              <w:bottom w:val="dotted" w:color="919191" w:sz="6" w:space="0"/>
              <w:right w:val="single" w:color="919191" w:sz="2" w:space="0"/>
            </w:tcBorders>
            <w:tcMar>
              <w:top w:w="180" w:type="dxa"/>
              <w:left w:w="180" w:type="dxa"/>
              <w:bottom w:w="180" w:type="dxa"/>
              <w:right w:w="320" w:type="dxa"/>
            </w:tcMar>
          </w:tcPr>
          <w:p w14:paraId="53FA383F">
            <w:pPr>
              <w:pStyle w:val="26"/>
              <w:tabs>
                <w:tab w:val="left" w:pos="560"/>
                <w:tab w:val="left" w:pos="1120"/>
                <w:tab w:val="left" w:pos="1680"/>
                <w:tab w:val="left" w:pos="2240"/>
              </w:tabs>
              <w:spacing w:line="360" w:lineRule="auto"/>
              <w:ind w:right="140"/>
              <w:jc w:val="both"/>
            </w:pPr>
            <w:r>
              <w:rPr>
                <w:rFonts w:ascii="Helvetica Neue" w:hAnsi="Helvetica Neue"/>
                <w:b/>
                <w:bCs/>
                <w:sz w:val="24"/>
                <w:szCs w:val="24"/>
              </w:rPr>
              <w:t>Private Sector Partners/Funders</w:t>
            </w:r>
          </w:p>
        </w:tc>
        <w:tc>
          <w:tcPr>
            <w:tcW w:w="4045" w:type="dxa"/>
            <w:tcBorders>
              <w:top w:val="dotted" w:color="919191" w:sz="6" w:space="0"/>
              <w:left w:val="single" w:color="919191" w:sz="2" w:space="0"/>
              <w:bottom w:val="dotted" w:color="919191" w:sz="6" w:space="0"/>
              <w:right w:val="nil"/>
            </w:tcBorders>
            <w:tcMar>
              <w:top w:w="180" w:type="dxa"/>
              <w:left w:w="203" w:type="dxa"/>
              <w:bottom w:w="180" w:type="dxa"/>
              <w:right w:w="320" w:type="dxa"/>
            </w:tcMar>
          </w:tcPr>
          <w:p w14:paraId="414C9CBB">
            <w:pPr>
              <w:pStyle w:val="26"/>
              <w:numPr>
                <w:ilvl w:val="1"/>
                <w:numId w:val="23"/>
              </w:numPr>
              <w:spacing w:line="360" w:lineRule="auto"/>
              <w:ind w:right="140"/>
              <w:jc w:val="both"/>
              <w:rPr>
                <w:sz w:val="24"/>
                <w:szCs w:val="24"/>
                <w:lang w:val="en-US"/>
              </w:rPr>
            </w:pPr>
            <w:r>
              <w:rPr>
                <w:sz w:val="24"/>
                <w:szCs w:val="24"/>
                <w:lang w:val="en-US"/>
              </w:rPr>
              <w:t>Deliver infrastructure projects and provide periodic updates.</w:t>
            </w:r>
          </w:p>
          <w:p w14:paraId="33259597">
            <w:pPr>
              <w:pStyle w:val="26"/>
              <w:numPr>
                <w:ilvl w:val="1"/>
                <w:numId w:val="23"/>
              </w:numPr>
              <w:spacing w:line="360" w:lineRule="auto"/>
              <w:ind w:right="140"/>
              <w:jc w:val="both"/>
              <w:rPr>
                <w:sz w:val="24"/>
                <w:szCs w:val="24"/>
                <w:lang w:val="en-US"/>
              </w:rPr>
            </w:pPr>
            <w:r>
              <w:rPr>
                <w:sz w:val="24"/>
                <w:szCs w:val="24"/>
                <w:lang w:val="en-US"/>
              </w:rPr>
              <w:t>Ensure proper compliance and accountability</w:t>
            </w:r>
          </w:p>
          <w:p w14:paraId="43E88BA9">
            <w:pPr>
              <w:pStyle w:val="26"/>
              <w:numPr>
                <w:ilvl w:val="1"/>
                <w:numId w:val="23"/>
              </w:numPr>
              <w:spacing w:line="360" w:lineRule="auto"/>
              <w:ind w:right="140"/>
              <w:jc w:val="both"/>
              <w:rPr>
                <w:sz w:val="24"/>
                <w:szCs w:val="24"/>
                <w:lang w:val="en-US"/>
              </w:rPr>
            </w:pPr>
            <w:r>
              <w:rPr>
                <w:sz w:val="24"/>
                <w:szCs w:val="24"/>
                <w:lang w:val="en-US"/>
              </w:rPr>
              <w:t>All other responsibilities as assigned by the PPP UNIT during the project lifecycle.</w:t>
            </w:r>
          </w:p>
        </w:tc>
      </w:tr>
      <w:tr w14:paraId="242C3B94">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533" w:hRule="atLeast"/>
        </w:trPr>
        <w:tc>
          <w:tcPr>
            <w:tcW w:w="1200" w:type="dxa"/>
            <w:tcBorders>
              <w:top w:val="dotted" w:color="919191" w:sz="6" w:space="0"/>
              <w:left w:val="nil"/>
              <w:bottom w:val="nil"/>
              <w:right w:val="single" w:color="919191" w:sz="2" w:space="0"/>
            </w:tcBorders>
            <w:shd w:val="clear" w:color="auto" w:fill="EEEEEE"/>
            <w:tcMar>
              <w:top w:w="180" w:type="dxa"/>
              <w:left w:w="180" w:type="dxa"/>
              <w:bottom w:w="180" w:type="dxa"/>
              <w:right w:w="320" w:type="dxa"/>
            </w:tcMar>
          </w:tcPr>
          <w:p w14:paraId="575AB107">
            <w:pPr>
              <w:pStyle w:val="26"/>
              <w:tabs>
                <w:tab w:val="left" w:pos="560"/>
                <w:tab w:val="left" w:pos="1120"/>
              </w:tabs>
              <w:spacing w:line="360" w:lineRule="auto"/>
              <w:ind w:right="140"/>
            </w:pPr>
            <w:r>
              <w:rPr>
                <w:sz w:val="24"/>
                <w:szCs w:val="24"/>
              </w:rPr>
              <w:t>5</w:t>
            </w:r>
          </w:p>
        </w:tc>
        <w:tc>
          <w:tcPr>
            <w:tcW w:w="2674" w:type="dxa"/>
            <w:tcBorders>
              <w:top w:val="dotted" w:color="919191" w:sz="6" w:space="0"/>
              <w:left w:val="single" w:color="919191" w:sz="2" w:space="0"/>
              <w:bottom w:val="nil"/>
              <w:right w:val="single" w:color="919191" w:sz="2" w:space="0"/>
            </w:tcBorders>
            <w:shd w:val="clear" w:color="auto" w:fill="EEEEEE"/>
            <w:tcMar>
              <w:top w:w="180" w:type="dxa"/>
              <w:left w:w="180" w:type="dxa"/>
              <w:bottom w:w="180" w:type="dxa"/>
              <w:right w:w="320" w:type="dxa"/>
            </w:tcMar>
          </w:tcPr>
          <w:p w14:paraId="4D464AAF">
            <w:pPr>
              <w:pStyle w:val="26"/>
              <w:tabs>
                <w:tab w:val="left" w:pos="560"/>
                <w:tab w:val="left" w:pos="1120"/>
                <w:tab w:val="left" w:pos="1680"/>
                <w:tab w:val="left" w:pos="2240"/>
              </w:tabs>
              <w:spacing w:line="360" w:lineRule="auto"/>
              <w:ind w:right="140"/>
              <w:jc w:val="both"/>
            </w:pPr>
            <w:r>
              <w:rPr>
                <w:rFonts w:ascii="Helvetica Neue" w:hAnsi="Helvetica Neue"/>
                <w:b/>
                <w:bCs/>
                <w:sz w:val="24"/>
                <w:szCs w:val="24"/>
              </w:rPr>
              <w:t>Independent Auditors</w:t>
            </w:r>
          </w:p>
        </w:tc>
        <w:tc>
          <w:tcPr>
            <w:tcW w:w="4045" w:type="dxa"/>
            <w:tcBorders>
              <w:top w:val="dotted" w:color="919191" w:sz="6" w:space="0"/>
              <w:left w:val="single" w:color="919191" w:sz="2" w:space="0"/>
              <w:bottom w:val="nil"/>
              <w:right w:val="nil"/>
            </w:tcBorders>
            <w:shd w:val="clear" w:color="auto" w:fill="EEEEEE"/>
            <w:tcMar>
              <w:top w:w="180" w:type="dxa"/>
              <w:left w:w="203" w:type="dxa"/>
              <w:bottom w:w="180" w:type="dxa"/>
              <w:right w:w="463" w:type="dxa"/>
            </w:tcMar>
          </w:tcPr>
          <w:p w14:paraId="1CAC000E">
            <w:pPr>
              <w:pStyle w:val="26"/>
              <w:numPr>
                <w:ilvl w:val="1"/>
                <w:numId w:val="24"/>
              </w:numPr>
              <w:spacing w:line="360" w:lineRule="auto"/>
              <w:ind w:right="283"/>
              <w:jc w:val="both"/>
              <w:rPr>
                <w:sz w:val="24"/>
                <w:szCs w:val="24"/>
                <w:lang w:val="en-US"/>
              </w:rPr>
            </w:pPr>
            <w:r>
              <w:rPr>
                <w:sz w:val="24"/>
                <w:szCs w:val="24"/>
                <w:lang w:val="en-US"/>
              </w:rPr>
              <w:t>Conduct baseline, midline, and endline project evaluations and processes.</w:t>
            </w:r>
          </w:p>
          <w:p w14:paraId="0D8AE2D2">
            <w:pPr>
              <w:pStyle w:val="26"/>
              <w:numPr>
                <w:ilvl w:val="1"/>
                <w:numId w:val="24"/>
              </w:numPr>
              <w:spacing w:line="360" w:lineRule="auto"/>
              <w:ind w:right="283"/>
              <w:jc w:val="both"/>
              <w:rPr>
                <w:sz w:val="24"/>
                <w:szCs w:val="24"/>
                <w:lang w:val="en-US"/>
              </w:rPr>
            </w:pPr>
            <w:r>
              <w:rPr>
                <w:sz w:val="24"/>
                <w:szCs w:val="24"/>
                <w:lang w:val="en-US"/>
              </w:rPr>
              <w:t>Prepare and submit clear reports to the university management and PPP UNIT</w:t>
            </w:r>
          </w:p>
        </w:tc>
      </w:tr>
    </w:tbl>
    <w:p w14:paraId="4FF65376">
      <w:pPr>
        <w:pStyle w:val="25"/>
        <w:tabs>
          <w:tab w:val="left" w:pos="144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left="2304" w:right="140" w:hanging="360"/>
        <w:jc w:val="both"/>
        <w:rPr>
          <w:rFonts w:ascii="Times New Roman" w:hAnsi="Times New Roman" w:eastAsia="Times New Roman" w:cs="Times New Roman"/>
          <w:sz w:val="24"/>
          <w:szCs w:val="24"/>
        </w:rPr>
      </w:pPr>
    </w:p>
    <w:p w14:paraId="6D98B587">
      <w:pPr>
        <w:pStyle w:val="2"/>
        <w:spacing w:line="360" w:lineRule="auto"/>
        <w:rPr>
          <w:color w:val="000000"/>
          <w:sz w:val="24"/>
          <w:szCs w:val="24"/>
        </w:rPr>
      </w:pPr>
      <w:bookmarkStart w:id="29" w:name="_Toc28"/>
      <w:r>
        <w:rPr>
          <w:color w:val="000000"/>
          <w:sz w:val="24"/>
          <w:szCs w:val="24"/>
          <w:lang w:val="en-US"/>
        </w:rPr>
        <w:t xml:space="preserve">6.1. Establishing a PPP UNIT </w:t>
      </w:r>
      <w:bookmarkEnd w:id="29"/>
    </w:p>
    <w:p w14:paraId="60C584F1">
      <w:pPr>
        <w:pStyle w:val="3"/>
        <w:spacing w:line="360" w:lineRule="auto"/>
        <w:jc w:val="both"/>
        <w:rPr>
          <w:b/>
          <w:bCs/>
          <w:color w:val="000000"/>
          <w:lang w:eastAsia="zh-CN"/>
        </w:rPr>
      </w:pPr>
      <w:r>
        <w:rPr>
          <w:sz w:val="24"/>
          <w:szCs w:val="24"/>
          <w:lang w:val="en-US"/>
        </w:rPr>
        <w:t>The university management shall set up a dedicated PPP unit. Its core task is to be the policy custodian, project developer, compliance officer, contract manager, and innovation promoter for PPP projects within the university.</w:t>
      </w:r>
      <w:r>
        <w:rPr>
          <w:b/>
          <w:bCs/>
          <w:color w:val="000000"/>
          <w:lang w:val="en-US" w:eastAsia="en-US"/>
        </w:rPr>
        <w:drawing>
          <wp:anchor distT="152400" distB="152400" distL="152400" distR="152400" simplePos="0" relativeHeight="251661312" behindDoc="0" locked="0" layoutInCell="1" allowOverlap="1">
            <wp:simplePos x="0" y="0"/>
            <wp:positionH relativeFrom="margin">
              <wp:posOffset>278765</wp:posOffset>
            </wp:positionH>
            <wp:positionV relativeFrom="line">
              <wp:posOffset>341630</wp:posOffset>
            </wp:positionV>
            <wp:extent cx="5263515" cy="4190365"/>
            <wp:effectExtent l="0" t="0" r="0" b="635"/>
            <wp:wrapThrough wrapText="bothSides">
              <wp:wrapPolygon>
                <wp:start x="0" y="0"/>
                <wp:lineTo x="0" y="21538"/>
                <wp:lineTo x="21524" y="21538"/>
                <wp:lineTo x="21524" y="0"/>
                <wp:lineTo x="0" y="0"/>
              </wp:wrapPolygon>
            </wp:wrapThrough>
            <wp:docPr id="1073741827" name="officeArt object"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descr="Image"/>
                    <pic:cNvPicPr>
                      <a:picLocks noChangeAspect="1"/>
                    </pic:cNvPicPr>
                  </pic:nvPicPr>
                  <pic:blipFill>
                    <a:blip r:embed="rId8"/>
                    <a:srcRect t="4911" b="4911"/>
                    <a:stretch>
                      <a:fillRect/>
                    </a:stretch>
                  </pic:blipFill>
                  <pic:spPr>
                    <a:xfrm>
                      <a:off x="0" y="0"/>
                      <a:ext cx="5263515" cy="4190365"/>
                    </a:xfrm>
                    <a:prstGeom prst="rect">
                      <a:avLst/>
                    </a:prstGeom>
                    <a:ln w="12700" cap="flat">
                      <a:noFill/>
                      <a:miter lim="400000"/>
                      <a:headEnd/>
                      <a:tailEnd/>
                    </a:ln>
                    <a:effectLst/>
                  </pic:spPr>
                </pic:pic>
              </a:graphicData>
            </a:graphic>
          </wp:anchor>
        </w:drawing>
      </w:r>
    </w:p>
    <w:p w14:paraId="1489F030">
      <w:pPr>
        <w:pStyle w:val="27"/>
      </w:pPr>
      <w:r>
        <w:rPr>
          <w:b/>
          <w:bCs/>
          <w:color w:val="000000"/>
          <w:lang w:val="en-US"/>
        </w:rPr>
        <w:t>Organogram of PPP Directorate/UNIT</w:t>
      </w:r>
      <w:r>
        <w:rPr>
          <w:rFonts w:ascii="Arial Unicode MS" w:hAnsi="Arial Unicode MS" w:eastAsia="Arial Unicode MS" w:cs="Arial Unicode MS"/>
          <w:color w:val="000000"/>
        </w:rPr>
        <w:br w:type="page"/>
      </w:r>
    </w:p>
    <w:p w14:paraId="0AD024BA">
      <w:pPr>
        <w:pStyle w:val="2"/>
        <w:rPr>
          <w:color w:val="000000"/>
        </w:rPr>
      </w:pPr>
    </w:p>
    <w:p w14:paraId="6E1DAB64">
      <w:pPr>
        <w:pStyle w:val="2"/>
        <w:spacing w:line="360" w:lineRule="auto"/>
        <w:rPr>
          <w:color w:val="000000"/>
        </w:rPr>
      </w:pPr>
      <w:bookmarkStart w:id="30" w:name="_Toc29"/>
      <w:r>
        <w:rPr>
          <w:color w:val="000000"/>
          <w:sz w:val="24"/>
          <w:szCs w:val="24"/>
          <w:lang w:val="en-US"/>
        </w:rPr>
        <w:t xml:space="preserve">6.2. PPP UNIT Directorate </w:t>
      </w:r>
      <w:r>
        <w:rPr>
          <w:color w:val="000000"/>
          <w:lang w:val="en-US"/>
        </w:rPr>
        <w:t xml:space="preserve"> </w:t>
      </w:r>
      <w:bookmarkEnd w:id="30"/>
    </w:p>
    <w:p w14:paraId="03450189">
      <w:pPr>
        <w:pStyle w:val="3"/>
        <w:spacing w:line="360" w:lineRule="auto"/>
        <w:jc w:val="both"/>
        <w:rPr>
          <w:sz w:val="24"/>
          <w:szCs w:val="24"/>
        </w:rPr>
      </w:pPr>
      <w:r>
        <w:rPr>
          <w:sz w:val="24"/>
          <w:szCs w:val="24"/>
          <w:lang w:val="en-US"/>
        </w:rPr>
        <w:t>The PPP UNIT/Directorate shall be headed by a Director, appointed by the Vice Chancellor who is expected to be a PPP Expert. The director's major responsibilities shall be leadership and coordination authority on behalf of the Vice Chancellor, ensuring that all other units</w:t>
      </w:r>
      <w:r>
        <w:rPr>
          <w:sz w:val="24"/>
          <w:szCs w:val="24"/>
          <w:rtl/>
        </w:rPr>
        <w:t xml:space="preserve">’ </w:t>
      </w:r>
      <w:r>
        <w:rPr>
          <w:sz w:val="24"/>
          <w:szCs w:val="24"/>
          <w:lang w:val="en-US"/>
        </w:rPr>
        <w:t>function in a harmonised way. Specific responsibilities include oversight &amp; coordination, policy and governance, resource mobilisation, monitoring and accountability, and innovation and growth. Below are the teams and their responsibilties:</w:t>
      </w:r>
    </w:p>
    <w:p w14:paraId="09588EF5">
      <w:pPr>
        <w:pStyle w:val="4"/>
        <w:spacing w:line="360" w:lineRule="auto"/>
        <w:rPr>
          <w:b/>
          <w:bCs/>
        </w:rPr>
      </w:pPr>
      <w:bookmarkStart w:id="31" w:name="_Toc30"/>
      <w:r>
        <w:rPr>
          <w:b/>
          <w:bCs/>
          <w:lang w:val="en-US"/>
        </w:rPr>
        <w:t>UNIT Head, Business Development</w:t>
      </w:r>
      <w:bookmarkEnd w:id="31"/>
    </w:p>
    <w:p w14:paraId="25710A99">
      <w:pPr>
        <w:pStyle w:val="3"/>
        <w:numPr>
          <w:ilvl w:val="3"/>
          <w:numId w:val="8"/>
        </w:numPr>
        <w:spacing w:line="360" w:lineRule="auto"/>
        <w:rPr>
          <w:sz w:val="24"/>
          <w:szCs w:val="24"/>
          <w:lang w:val="en-US"/>
        </w:rPr>
      </w:pPr>
      <w:r>
        <w:rPr>
          <w:sz w:val="24"/>
          <w:szCs w:val="24"/>
          <w:lang w:val="en-US"/>
        </w:rPr>
        <w:t>Strategic Partnership and Networking</w:t>
      </w:r>
    </w:p>
    <w:p w14:paraId="7CB065E3">
      <w:pPr>
        <w:pStyle w:val="3"/>
        <w:numPr>
          <w:ilvl w:val="3"/>
          <w:numId w:val="8"/>
        </w:numPr>
        <w:spacing w:line="360" w:lineRule="auto"/>
        <w:rPr>
          <w:sz w:val="24"/>
          <w:szCs w:val="24"/>
          <w:lang w:val="en-US"/>
        </w:rPr>
      </w:pPr>
      <w:r>
        <w:rPr>
          <w:sz w:val="24"/>
          <w:szCs w:val="24"/>
          <w:lang w:val="en-US"/>
        </w:rPr>
        <w:t>Revenue Generation &amp; Enterprise</w:t>
      </w:r>
    </w:p>
    <w:p w14:paraId="1641B003">
      <w:pPr>
        <w:pStyle w:val="3"/>
        <w:numPr>
          <w:ilvl w:val="3"/>
          <w:numId w:val="8"/>
        </w:numPr>
        <w:spacing w:line="360" w:lineRule="auto"/>
        <w:rPr>
          <w:sz w:val="24"/>
          <w:szCs w:val="24"/>
          <w:lang w:val="en-US"/>
        </w:rPr>
      </w:pPr>
      <w:r>
        <w:rPr>
          <w:sz w:val="24"/>
          <w:szCs w:val="24"/>
          <w:lang w:val="en-US"/>
        </w:rPr>
        <w:t>Project Development &amp; Management</w:t>
      </w:r>
    </w:p>
    <w:p w14:paraId="710A2C98">
      <w:pPr>
        <w:pStyle w:val="3"/>
        <w:numPr>
          <w:ilvl w:val="3"/>
          <w:numId w:val="8"/>
        </w:numPr>
        <w:spacing w:line="360" w:lineRule="auto"/>
        <w:rPr>
          <w:sz w:val="24"/>
          <w:szCs w:val="24"/>
          <w:lang w:val="en-US"/>
        </w:rPr>
      </w:pPr>
      <w:r>
        <w:rPr>
          <w:sz w:val="24"/>
          <w:szCs w:val="24"/>
          <w:lang w:val="en-US"/>
        </w:rPr>
        <w:t>Investment Facilitation</w:t>
      </w:r>
    </w:p>
    <w:p w14:paraId="2E5DA454">
      <w:pPr>
        <w:pStyle w:val="3"/>
        <w:numPr>
          <w:ilvl w:val="3"/>
          <w:numId w:val="8"/>
        </w:numPr>
        <w:spacing w:line="360" w:lineRule="auto"/>
        <w:rPr>
          <w:sz w:val="24"/>
          <w:szCs w:val="24"/>
          <w:lang w:val="it-IT"/>
        </w:rPr>
      </w:pPr>
      <w:r>
        <w:rPr>
          <w:sz w:val="24"/>
          <w:szCs w:val="24"/>
          <w:lang w:val="it-IT"/>
        </w:rPr>
        <w:t>Deal Originator</w:t>
      </w:r>
    </w:p>
    <w:p w14:paraId="5975ED93">
      <w:pPr>
        <w:pStyle w:val="3"/>
        <w:numPr>
          <w:ilvl w:val="3"/>
          <w:numId w:val="8"/>
        </w:numPr>
        <w:spacing w:line="360" w:lineRule="auto"/>
        <w:rPr>
          <w:sz w:val="24"/>
          <w:szCs w:val="24"/>
          <w:lang w:val="en-US"/>
        </w:rPr>
      </w:pPr>
      <w:r>
        <w:rPr>
          <w:sz w:val="24"/>
          <w:szCs w:val="24"/>
          <w:lang w:val="en-US"/>
        </w:rPr>
        <w:t>Reports to PPP UNIT Director</w:t>
      </w:r>
    </w:p>
    <w:p w14:paraId="1C28100C">
      <w:pPr>
        <w:pStyle w:val="4"/>
        <w:spacing w:line="360" w:lineRule="auto"/>
        <w:rPr>
          <w:b/>
          <w:bCs/>
        </w:rPr>
      </w:pPr>
      <w:bookmarkStart w:id="32" w:name="_Toc31"/>
      <w:r>
        <w:rPr>
          <w:b/>
          <w:bCs/>
          <w:lang w:val="en-US"/>
        </w:rPr>
        <w:t>UNIT Head, Legal</w:t>
      </w:r>
      <w:bookmarkEnd w:id="32"/>
    </w:p>
    <w:p w14:paraId="47FC6890">
      <w:pPr>
        <w:pStyle w:val="3"/>
        <w:numPr>
          <w:ilvl w:val="3"/>
          <w:numId w:val="17"/>
        </w:numPr>
        <w:spacing w:line="360" w:lineRule="auto"/>
        <w:rPr>
          <w:sz w:val="24"/>
          <w:szCs w:val="24"/>
          <w:lang w:val="en-US"/>
        </w:rPr>
      </w:pPr>
      <w:r>
        <w:rPr>
          <w:sz w:val="24"/>
          <w:szCs w:val="24"/>
          <w:lang w:val="en-US"/>
        </w:rPr>
        <w:t xml:space="preserve">Oversee the Legal related issues in the Unit. </w:t>
      </w:r>
    </w:p>
    <w:p w14:paraId="39442BBD">
      <w:pPr>
        <w:pStyle w:val="3"/>
        <w:numPr>
          <w:ilvl w:val="3"/>
          <w:numId w:val="17"/>
        </w:numPr>
        <w:spacing w:line="360" w:lineRule="auto"/>
        <w:rPr>
          <w:sz w:val="24"/>
          <w:szCs w:val="24"/>
          <w:lang w:val="en-US"/>
        </w:rPr>
      </w:pPr>
      <w:r>
        <w:rPr>
          <w:sz w:val="24"/>
          <w:szCs w:val="24"/>
          <w:lang w:val="en-US"/>
        </w:rPr>
        <w:t xml:space="preserve">Reports directly to the PPP </w:t>
      </w:r>
    </w:p>
    <w:p w14:paraId="074EB9D2">
      <w:pPr>
        <w:pStyle w:val="4"/>
        <w:spacing w:line="360" w:lineRule="auto"/>
        <w:rPr>
          <w:b/>
          <w:bCs/>
        </w:rPr>
      </w:pPr>
      <w:bookmarkStart w:id="33" w:name="_Toc32"/>
      <w:r>
        <w:rPr>
          <w:b/>
          <w:bCs/>
          <w:lang w:val="en-US"/>
        </w:rPr>
        <w:t>UNIT Head, Projects</w:t>
      </w:r>
      <w:bookmarkEnd w:id="33"/>
    </w:p>
    <w:p w14:paraId="723B5DB1">
      <w:pPr>
        <w:pStyle w:val="3"/>
        <w:numPr>
          <w:ilvl w:val="3"/>
          <w:numId w:val="25"/>
        </w:numPr>
        <w:spacing w:line="360" w:lineRule="auto"/>
        <w:rPr>
          <w:sz w:val="24"/>
          <w:szCs w:val="24"/>
          <w:lang w:val="en-US"/>
        </w:rPr>
      </w:pPr>
      <w:r>
        <w:rPr>
          <w:sz w:val="24"/>
          <w:szCs w:val="24"/>
          <w:lang w:val="en-US"/>
        </w:rPr>
        <w:t>Project Planning &amp; Design</w:t>
      </w:r>
    </w:p>
    <w:p w14:paraId="6A86362D">
      <w:pPr>
        <w:pStyle w:val="3"/>
        <w:numPr>
          <w:ilvl w:val="3"/>
          <w:numId w:val="8"/>
        </w:numPr>
        <w:spacing w:line="360" w:lineRule="auto"/>
        <w:rPr>
          <w:sz w:val="24"/>
          <w:szCs w:val="24"/>
          <w:lang w:val="en-US"/>
        </w:rPr>
      </w:pPr>
      <w:r>
        <w:rPr>
          <w:sz w:val="24"/>
          <w:szCs w:val="24"/>
          <w:lang w:val="en-US"/>
        </w:rPr>
        <w:t xml:space="preserve">Deal Execution &amp; Coordination </w:t>
      </w:r>
    </w:p>
    <w:p w14:paraId="39D94553">
      <w:pPr>
        <w:pStyle w:val="3"/>
        <w:numPr>
          <w:ilvl w:val="3"/>
          <w:numId w:val="8"/>
        </w:numPr>
        <w:spacing w:line="360" w:lineRule="auto"/>
        <w:rPr>
          <w:sz w:val="24"/>
          <w:szCs w:val="24"/>
          <w:lang w:val="en-US"/>
        </w:rPr>
      </w:pPr>
      <w:r>
        <w:rPr>
          <w:sz w:val="24"/>
          <w:szCs w:val="24"/>
          <w:lang w:val="en-US"/>
        </w:rPr>
        <w:t>Monitoring &amp; Evaluation</w:t>
      </w:r>
    </w:p>
    <w:p w14:paraId="5F4546FC">
      <w:pPr>
        <w:pStyle w:val="3"/>
        <w:numPr>
          <w:ilvl w:val="3"/>
          <w:numId w:val="8"/>
        </w:numPr>
        <w:spacing w:line="360" w:lineRule="auto"/>
        <w:rPr>
          <w:sz w:val="24"/>
          <w:szCs w:val="24"/>
          <w:lang w:val="en-US"/>
        </w:rPr>
      </w:pPr>
      <w:r>
        <w:rPr>
          <w:sz w:val="24"/>
          <w:szCs w:val="24"/>
          <w:lang w:val="en-US"/>
        </w:rPr>
        <w:t xml:space="preserve">Financial &amp; Risk Management </w:t>
      </w:r>
    </w:p>
    <w:p w14:paraId="7FC11679">
      <w:pPr>
        <w:pStyle w:val="3"/>
        <w:numPr>
          <w:ilvl w:val="3"/>
          <w:numId w:val="8"/>
        </w:numPr>
        <w:spacing w:line="360" w:lineRule="auto"/>
        <w:rPr>
          <w:sz w:val="24"/>
          <w:szCs w:val="24"/>
          <w:lang w:val="en-US"/>
        </w:rPr>
      </w:pPr>
      <w:r>
        <w:rPr>
          <w:sz w:val="24"/>
          <w:szCs w:val="24"/>
          <w:lang w:val="en-US"/>
        </w:rPr>
        <w:t>Sustainability &amp; Handover</w:t>
      </w:r>
    </w:p>
    <w:p w14:paraId="2D88137F">
      <w:pPr>
        <w:pStyle w:val="3"/>
        <w:numPr>
          <w:ilvl w:val="3"/>
          <w:numId w:val="8"/>
        </w:numPr>
        <w:spacing w:line="360" w:lineRule="auto"/>
        <w:rPr>
          <w:sz w:val="24"/>
          <w:szCs w:val="24"/>
          <w:lang w:val="en-US"/>
        </w:rPr>
      </w:pPr>
      <w:r>
        <w:rPr>
          <w:sz w:val="24"/>
          <w:szCs w:val="24"/>
          <w:lang w:val="en-US"/>
        </w:rPr>
        <w:t>Reports to PPP UNIT Director</w:t>
      </w:r>
    </w:p>
    <w:p w14:paraId="5860CC6C">
      <w:pPr>
        <w:pStyle w:val="4"/>
        <w:spacing w:line="360" w:lineRule="auto"/>
        <w:rPr>
          <w:b/>
          <w:bCs/>
        </w:rPr>
      </w:pPr>
      <w:bookmarkStart w:id="34" w:name="_Toc33"/>
      <w:r>
        <w:rPr>
          <w:b/>
          <w:bCs/>
          <w:lang w:val="en-US"/>
        </w:rPr>
        <w:t>Independent Auditor and Evaluators</w:t>
      </w:r>
      <w:bookmarkEnd w:id="34"/>
    </w:p>
    <w:p w14:paraId="148F2A8C">
      <w:pPr>
        <w:pStyle w:val="3"/>
        <w:numPr>
          <w:ilvl w:val="3"/>
          <w:numId w:val="26"/>
        </w:numPr>
        <w:spacing w:line="360" w:lineRule="auto"/>
        <w:rPr>
          <w:sz w:val="24"/>
          <w:szCs w:val="24"/>
          <w:lang w:val="en-US"/>
        </w:rPr>
      </w:pPr>
      <w:r>
        <w:rPr>
          <w:sz w:val="24"/>
          <w:szCs w:val="24"/>
          <w:lang w:val="en-US"/>
        </w:rPr>
        <w:t>Financial Auditing</w:t>
      </w:r>
    </w:p>
    <w:p w14:paraId="535FF222">
      <w:pPr>
        <w:pStyle w:val="3"/>
        <w:numPr>
          <w:ilvl w:val="3"/>
          <w:numId w:val="26"/>
        </w:numPr>
        <w:spacing w:line="360" w:lineRule="auto"/>
        <w:rPr>
          <w:sz w:val="24"/>
          <w:szCs w:val="24"/>
          <w:lang w:val="en-US"/>
        </w:rPr>
      </w:pPr>
      <w:r>
        <w:rPr>
          <w:sz w:val="24"/>
          <w:szCs w:val="24"/>
          <w:lang w:val="en-US"/>
        </w:rPr>
        <w:t>Performance Evaluation</w:t>
      </w:r>
    </w:p>
    <w:p w14:paraId="22D8E1D0">
      <w:pPr>
        <w:pStyle w:val="3"/>
        <w:numPr>
          <w:ilvl w:val="3"/>
          <w:numId w:val="26"/>
        </w:numPr>
        <w:spacing w:line="360" w:lineRule="auto"/>
        <w:rPr>
          <w:sz w:val="24"/>
          <w:szCs w:val="24"/>
          <w:lang w:val="en-US"/>
        </w:rPr>
      </w:pPr>
      <w:r>
        <w:rPr>
          <w:sz w:val="24"/>
          <w:szCs w:val="24"/>
          <w:lang w:val="en-US"/>
        </w:rPr>
        <w:t>Compliance &amp; Governance Oversight</w:t>
      </w:r>
    </w:p>
    <w:p w14:paraId="755BABC5">
      <w:pPr>
        <w:pStyle w:val="3"/>
        <w:numPr>
          <w:ilvl w:val="3"/>
          <w:numId w:val="26"/>
        </w:numPr>
        <w:spacing w:line="360" w:lineRule="auto"/>
        <w:rPr>
          <w:sz w:val="24"/>
          <w:szCs w:val="24"/>
          <w:lang w:val="en-US"/>
        </w:rPr>
      </w:pPr>
      <w:r>
        <w:rPr>
          <w:sz w:val="24"/>
          <w:szCs w:val="24"/>
          <w:lang w:val="en-US"/>
        </w:rPr>
        <w:t>Transparency &amp; Accountability Reporting</w:t>
      </w:r>
    </w:p>
    <w:p w14:paraId="58D9A225">
      <w:pPr>
        <w:pStyle w:val="3"/>
        <w:numPr>
          <w:ilvl w:val="3"/>
          <w:numId w:val="26"/>
        </w:numPr>
        <w:spacing w:line="360" w:lineRule="auto"/>
        <w:rPr>
          <w:sz w:val="24"/>
          <w:szCs w:val="24"/>
          <w:lang w:val="en-US"/>
        </w:rPr>
      </w:pPr>
      <w:r>
        <w:rPr>
          <w:sz w:val="24"/>
          <w:szCs w:val="24"/>
          <w:lang w:val="en-US"/>
        </w:rPr>
        <w:t>Reports directly to the university management.</w:t>
      </w:r>
    </w:p>
    <w:p w14:paraId="302E4FC4">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7BB6E260">
      <w:pPr>
        <w:pStyle w:val="2"/>
        <w:spacing w:line="360" w:lineRule="auto"/>
        <w:rPr>
          <w:color w:val="000000"/>
          <w:sz w:val="24"/>
          <w:szCs w:val="24"/>
        </w:rPr>
      </w:pPr>
      <w:bookmarkStart w:id="35" w:name="_Toc34"/>
      <w:r>
        <w:rPr>
          <w:color w:val="000000"/>
          <w:sz w:val="24"/>
          <w:szCs w:val="24"/>
          <w:lang w:val="en-US"/>
        </w:rPr>
        <w:t>6.3. PPP Directorate/UNIT Functions/Responsibilities</w:t>
      </w:r>
      <w:bookmarkEnd w:id="35"/>
    </w:p>
    <w:p w14:paraId="3217645A">
      <w:pPr>
        <w:pStyle w:val="4"/>
        <w:spacing w:line="360" w:lineRule="auto"/>
        <w:rPr>
          <w:sz w:val="24"/>
          <w:szCs w:val="24"/>
        </w:rPr>
      </w:pPr>
      <w:bookmarkStart w:id="36" w:name="_Toc35"/>
      <w:r>
        <w:rPr>
          <w:sz w:val="24"/>
          <w:szCs w:val="24"/>
          <w:lang w:val="en-US"/>
        </w:rPr>
        <w:t>Policy Implementation and Advisory</w:t>
      </w:r>
      <w:bookmarkEnd w:id="36"/>
    </w:p>
    <w:p w14:paraId="4671A4B1">
      <w:pPr>
        <w:pStyle w:val="3"/>
        <w:numPr>
          <w:ilvl w:val="2"/>
          <w:numId w:val="27"/>
        </w:numPr>
        <w:spacing w:line="360" w:lineRule="auto"/>
        <w:rPr>
          <w:sz w:val="24"/>
          <w:szCs w:val="24"/>
          <w:lang w:val="en-US"/>
        </w:rPr>
      </w:pPr>
      <w:r>
        <w:rPr>
          <w:sz w:val="24"/>
          <w:szCs w:val="24"/>
          <w:lang w:val="en-US"/>
        </w:rPr>
        <w:t>The unit shall serve as the institutional anchor for all PPP initiatives in the University.</w:t>
      </w:r>
    </w:p>
    <w:p w14:paraId="10C7E588">
      <w:pPr>
        <w:pStyle w:val="3"/>
        <w:numPr>
          <w:ilvl w:val="2"/>
          <w:numId w:val="27"/>
        </w:numPr>
        <w:spacing w:line="360" w:lineRule="auto"/>
        <w:rPr>
          <w:sz w:val="24"/>
          <w:szCs w:val="24"/>
          <w:lang w:val="en-US"/>
        </w:rPr>
      </w:pPr>
      <w:r>
        <w:rPr>
          <w:sz w:val="24"/>
          <w:szCs w:val="24"/>
          <w:lang w:val="en-US"/>
        </w:rPr>
        <w:t>Translate the university</w:t>
      </w:r>
      <w:r>
        <w:rPr>
          <w:sz w:val="24"/>
          <w:szCs w:val="24"/>
          <w:rtl/>
        </w:rPr>
        <w:t>’</w:t>
      </w:r>
      <w:r>
        <w:rPr>
          <w:sz w:val="24"/>
          <w:szCs w:val="24"/>
          <w:lang w:val="en-US"/>
        </w:rPr>
        <w:t>s PPP policy, regulations, standards, and guidelines into practical steps.</w:t>
      </w:r>
    </w:p>
    <w:p w14:paraId="5FBD53F8">
      <w:pPr>
        <w:pStyle w:val="3"/>
        <w:numPr>
          <w:ilvl w:val="2"/>
          <w:numId w:val="27"/>
        </w:numPr>
        <w:spacing w:line="360" w:lineRule="auto"/>
        <w:rPr>
          <w:sz w:val="24"/>
          <w:szCs w:val="24"/>
          <w:lang w:val="en-US"/>
        </w:rPr>
      </w:pPr>
      <w:r>
        <w:rPr>
          <w:sz w:val="24"/>
          <w:szCs w:val="24"/>
          <w:lang w:val="en-US"/>
        </w:rPr>
        <w:t>Provide technical advice to Senate, Council, and University management PPP</w:t>
      </w:r>
    </w:p>
    <w:p w14:paraId="7D4B2875">
      <w:pPr>
        <w:pStyle w:val="4"/>
        <w:spacing w:line="360" w:lineRule="auto"/>
        <w:rPr>
          <w:sz w:val="24"/>
          <w:szCs w:val="24"/>
        </w:rPr>
      </w:pPr>
      <w:bookmarkStart w:id="37" w:name="_Toc36"/>
      <w:r>
        <w:rPr>
          <w:sz w:val="24"/>
          <w:szCs w:val="24"/>
          <w:lang w:val="en-US"/>
        </w:rPr>
        <w:t>Project Identification &amp; Development</w:t>
      </w:r>
      <w:bookmarkEnd w:id="37"/>
    </w:p>
    <w:p w14:paraId="475C08C4">
      <w:pPr>
        <w:pStyle w:val="3"/>
        <w:numPr>
          <w:ilvl w:val="2"/>
          <w:numId w:val="28"/>
        </w:numPr>
        <w:spacing w:line="360" w:lineRule="auto"/>
        <w:rPr>
          <w:sz w:val="24"/>
          <w:szCs w:val="24"/>
          <w:lang w:val="en-US"/>
        </w:rPr>
      </w:pPr>
      <w:r>
        <w:rPr>
          <w:sz w:val="24"/>
          <w:szCs w:val="24"/>
          <w:lang w:val="en-US"/>
        </w:rPr>
        <w:t>Identify infrastructure, service delivery, and research  areas  that are suitable for PPP arrangements</w:t>
      </w:r>
    </w:p>
    <w:p w14:paraId="30C90F36">
      <w:pPr>
        <w:pStyle w:val="3"/>
        <w:numPr>
          <w:ilvl w:val="2"/>
          <w:numId w:val="27"/>
        </w:numPr>
        <w:spacing w:line="360" w:lineRule="auto"/>
        <w:rPr>
          <w:sz w:val="24"/>
          <w:szCs w:val="24"/>
          <w:lang w:val="en-US"/>
        </w:rPr>
      </w:pPr>
      <w:r>
        <w:rPr>
          <w:sz w:val="24"/>
          <w:szCs w:val="24"/>
          <w:lang w:val="en-US"/>
        </w:rPr>
        <w:t xml:space="preserve">Conduct or commission pre-feasibility and feasibility studies to assess viability. </w:t>
      </w:r>
    </w:p>
    <w:p w14:paraId="2C595373">
      <w:pPr>
        <w:pStyle w:val="3"/>
        <w:numPr>
          <w:ilvl w:val="2"/>
          <w:numId w:val="27"/>
        </w:numPr>
        <w:spacing w:line="360" w:lineRule="auto"/>
        <w:rPr>
          <w:sz w:val="24"/>
          <w:szCs w:val="24"/>
          <w:lang w:val="en-US"/>
        </w:rPr>
      </w:pPr>
      <w:r>
        <w:rPr>
          <w:sz w:val="24"/>
          <w:szCs w:val="24"/>
          <w:lang w:val="en-US"/>
        </w:rPr>
        <w:t>Prepare business cases for PPP projects in line with ICRC standards</w:t>
      </w:r>
    </w:p>
    <w:p w14:paraId="79E32B88">
      <w:pPr>
        <w:pStyle w:val="4"/>
        <w:spacing w:line="360" w:lineRule="auto"/>
        <w:rPr>
          <w:sz w:val="24"/>
          <w:szCs w:val="24"/>
        </w:rPr>
      </w:pPr>
      <w:bookmarkStart w:id="38" w:name="_Toc37"/>
      <w:r>
        <w:rPr>
          <w:sz w:val="24"/>
          <w:szCs w:val="24"/>
          <w:lang w:val="en-US"/>
        </w:rPr>
        <w:t>Compliance &amp; Regulatory Liaison</w:t>
      </w:r>
      <w:bookmarkEnd w:id="38"/>
    </w:p>
    <w:p w14:paraId="1B09E88F">
      <w:pPr>
        <w:pStyle w:val="3"/>
        <w:numPr>
          <w:ilvl w:val="2"/>
          <w:numId w:val="29"/>
        </w:numPr>
        <w:spacing w:line="360" w:lineRule="auto"/>
        <w:rPr>
          <w:sz w:val="24"/>
          <w:szCs w:val="24"/>
          <w:lang w:val="en-US"/>
        </w:rPr>
      </w:pPr>
      <w:r>
        <w:rPr>
          <w:sz w:val="24"/>
          <w:szCs w:val="24"/>
          <w:lang w:val="en-US"/>
        </w:rPr>
        <w:t>ICRC Act and Guidelines. Public Procurement Act.</w:t>
      </w:r>
    </w:p>
    <w:p w14:paraId="662B7BDB">
      <w:pPr>
        <w:pStyle w:val="3"/>
        <w:numPr>
          <w:ilvl w:val="2"/>
          <w:numId w:val="27"/>
        </w:numPr>
        <w:spacing w:line="360" w:lineRule="auto"/>
        <w:rPr>
          <w:sz w:val="24"/>
          <w:szCs w:val="24"/>
          <w:lang w:val="en-US"/>
        </w:rPr>
      </w:pPr>
      <w:r>
        <w:rPr>
          <w:sz w:val="24"/>
          <w:szCs w:val="24"/>
          <w:lang w:val="en-US"/>
        </w:rPr>
        <w:t>NUC regulations and relevant federal policies (if any).</w:t>
      </w:r>
    </w:p>
    <w:p w14:paraId="2D3B6C75">
      <w:pPr>
        <w:pStyle w:val="3"/>
        <w:numPr>
          <w:ilvl w:val="2"/>
          <w:numId w:val="27"/>
        </w:numPr>
        <w:spacing w:line="360" w:lineRule="auto"/>
        <w:rPr>
          <w:sz w:val="24"/>
          <w:szCs w:val="24"/>
          <w:lang w:val="en-US"/>
        </w:rPr>
      </w:pPr>
      <w:r>
        <w:rPr>
          <w:sz w:val="24"/>
          <w:szCs w:val="24"/>
          <w:lang w:val="en-US"/>
        </w:rPr>
        <w:t>Act as the University</w:t>
      </w:r>
      <w:r>
        <w:rPr>
          <w:sz w:val="24"/>
          <w:szCs w:val="24"/>
          <w:rtl/>
        </w:rPr>
        <w:t>’</w:t>
      </w:r>
      <w:r>
        <w:rPr>
          <w:sz w:val="24"/>
          <w:szCs w:val="24"/>
          <w:lang w:val="en-US"/>
        </w:rPr>
        <w:t>s liaison office with ICRC, NUC, and relevant government agencies.</w:t>
      </w:r>
    </w:p>
    <w:p w14:paraId="5BBC8D8F">
      <w:pPr>
        <w:pStyle w:val="4"/>
        <w:spacing w:line="360" w:lineRule="auto"/>
        <w:rPr>
          <w:sz w:val="24"/>
          <w:szCs w:val="24"/>
        </w:rPr>
      </w:pPr>
      <w:bookmarkStart w:id="39" w:name="_Toc38"/>
      <w:r>
        <w:rPr>
          <w:sz w:val="24"/>
          <w:szCs w:val="24"/>
          <w:lang w:val="en-US"/>
        </w:rPr>
        <w:t>Procurement &amp; Partner Selection</w:t>
      </w:r>
      <w:bookmarkEnd w:id="39"/>
    </w:p>
    <w:p w14:paraId="6B8F849B">
      <w:pPr>
        <w:pStyle w:val="3"/>
        <w:numPr>
          <w:ilvl w:val="2"/>
          <w:numId w:val="30"/>
        </w:numPr>
        <w:spacing w:line="360" w:lineRule="auto"/>
        <w:rPr>
          <w:sz w:val="24"/>
          <w:szCs w:val="24"/>
          <w:lang w:val="en-US"/>
        </w:rPr>
      </w:pPr>
      <w:r>
        <w:rPr>
          <w:sz w:val="24"/>
          <w:szCs w:val="24"/>
          <w:lang w:val="en-US"/>
        </w:rPr>
        <w:t xml:space="preserve">Manage the procurement process for PPP projects (EOIs,RFPs,evaluations) </w:t>
      </w:r>
    </w:p>
    <w:p w14:paraId="7BDF3075">
      <w:pPr>
        <w:pStyle w:val="3"/>
        <w:numPr>
          <w:ilvl w:val="2"/>
          <w:numId w:val="30"/>
        </w:numPr>
        <w:spacing w:line="360" w:lineRule="auto"/>
        <w:rPr>
          <w:sz w:val="24"/>
          <w:szCs w:val="24"/>
          <w:lang w:val="en-US"/>
        </w:rPr>
      </w:pPr>
      <w:r>
        <w:rPr>
          <w:sz w:val="24"/>
          <w:szCs w:val="24"/>
          <w:lang w:val="en-US"/>
        </w:rPr>
        <w:t xml:space="preserve">Develop and apply criteria for selecting private partners (technical, financial, and ethical </w:t>
      </w:r>
    </w:p>
    <w:p w14:paraId="3C52E5FA">
      <w:pPr>
        <w:pStyle w:val="3"/>
        <w:numPr>
          <w:ilvl w:val="2"/>
          <w:numId w:val="30"/>
        </w:numPr>
        <w:spacing w:line="360" w:lineRule="auto"/>
        <w:rPr>
          <w:sz w:val="24"/>
          <w:szCs w:val="24"/>
          <w:lang w:val="en-US"/>
        </w:rPr>
      </w:pPr>
      <w:r>
        <w:rPr>
          <w:sz w:val="24"/>
          <w:szCs w:val="24"/>
          <w:lang w:val="en-US"/>
        </w:rPr>
        <w:t>Maintain a database of potential private sector partners for various sectors (construction, ICT, research among others)</w:t>
      </w:r>
    </w:p>
    <w:p w14:paraId="534D69D5">
      <w:pPr>
        <w:pStyle w:val="4"/>
        <w:spacing w:line="360" w:lineRule="auto"/>
        <w:rPr>
          <w:sz w:val="24"/>
          <w:szCs w:val="24"/>
        </w:rPr>
      </w:pPr>
      <w:bookmarkStart w:id="40" w:name="_Toc39"/>
      <w:r>
        <w:rPr>
          <w:sz w:val="24"/>
          <w:szCs w:val="24"/>
          <w:lang w:val="en-US"/>
        </w:rPr>
        <w:t>Risk Management &amp; Contracting</w:t>
      </w:r>
      <w:bookmarkEnd w:id="40"/>
    </w:p>
    <w:p w14:paraId="5BE1EB31">
      <w:pPr>
        <w:pStyle w:val="3"/>
        <w:numPr>
          <w:ilvl w:val="2"/>
          <w:numId w:val="31"/>
        </w:numPr>
        <w:spacing w:line="360" w:lineRule="auto"/>
        <w:rPr>
          <w:sz w:val="24"/>
          <w:szCs w:val="24"/>
          <w:lang w:val="en-US"/>
        </w:rPr>
      </w:pPr>
      <w:r>
        <w:rPr>
          <w:sz w:val="24"/>
          <w:szCs w:val="24"/>
          <w:lang w:val="en-US"/>
        </w:rPr>
        <w:t xml:space="preserve">Develop risk-sharing frameworks tailored to different PPP models. </w:t>
      </w:r>
    </w:p>
    <w:p w14:paraId="05089657">
      <w:pPr>
        <w:pStyle w:val="3"/>
        <w:numPr>
          <w:ilvl w:val="2"/>
          <w:numId w:val="31"/>
        </w:numPr>
        <w:spacing w:line="360" w:lineRule="auto"/>
        <w:rPr>
          <w:sz w:val="24"/>
          <w:szCs w:val="24"/>
          <w:lang w:val="en-US"/>
        </w:rPr>
      </w:pPr>
      <w:r>
        <w:rPr>
          <w:sz w:val="24"/>
          <w:szCs w:val="24"/>
          <w:lang w:val="en-US"/>
        </w:rPr>
        <w:t>Negotiate and draft PPP agreements ensuring inclusion of:</w:t>
      </w:r>
    </w:p>
    <w:p w14:paraId="357C2B6C">
      <w:pPr>
        <w:pStyle w:val="3"/>
        <w:numPr>
          <w:ilvl w:val="2"/>
          <w:numId w:val="31"/>
        </w:numPr>
        <w:spacing w:line="360" w:lineRule="auto"/>
        <w:rPr>
          <w:sz w:val="24"/>
          <w:szCs w:val="24"/>
          <w:lang w:val="en-US"/>
        </w:rPr>
      </w:pPr>
      <w:r>
        <w:rPr>
          <w:sz w:val="24"/>
          <w:szCs w:val="24"/>
          <w:lang w:val="en-US"/>
        </w:rPr>
        <w:t xml:space="preserve">Value-for-money provisions. </w:t>
      </w:r>
    </w:p>
    <w:p w14:paraId="779AA154">
      <w:pPr>
        <w:pStyle w:val="3"/>
        <w:numPr>
          <w:ilvl w:val="2"/>
          <w:numId w:val="31"/>
        </w:numPr>
        <w:spacing w:line="360" w:lineRule="auto"/>
        <w:rPr>
          <w:sz w:val="24"/>
          <w:szCs w:val="24"/>
          <w:lang w:val="fr-FR"/>
        </w:rPr>
      </w:pPr>
      <w:r>
        <w:rPr>
          <w:sz w:val="24"/>
          <w:szCs w:val="24"/>
          <w:lang w:val="fr-FR"/>
        </w:rPr>
        <w:t>Performance obligations.</w:t>
      </w:r>
    </w:p>
    <w:p w14:paraId="022BFE38">
      <w:pPr>
        <w:pStyle w:val="3"/>
        <w:numPr>
          <w:ilvl w:val="2"/>
          <w:numId w:val="31"/>
        </w:numPr>
        <w:spacing w:line="360" w:lineRule="auto"/>
        <w:rPr>
          <w:sz w:val="24"/>
          <w:szCs w:val="24"/>
          <w:lang w:val="en-US"/>
        </w:rPr>
      </w:pPr>
      <w:r>
        <w:rPr>
          <w:sz w:val="24"/>
          <w:szCs w:val="24"/>
          <w:lang w:val="en-US"/>
        </w:rPr>
        <w:t>Conflict resolution mechanisms.</w:t>
      </w:r>
    </w:p>
    <w:p w14:paraId="6CC450A1">
      <w:pPr>
        <w:pStyle w:val="4"/>
        <w:spacing w:line="360" w:lineRule="auto"/>
        <w:rPr>
          <w:sz w:val="24"/>
          <w:szCs w:val="24"/>
        </w:rPr>
      </w:pPr>
      <w:bookmarkStart w:id="41" w:name="_Toc40"/>
      <w:r>
        <w:rPr>
          <w:sz w:val="24"/>
          <w:szCs w:val="24"/>
          <w:lang w:val="en-US"/>
        </w:rPr>
        <w:t>Monitoring, Reporting and Evaluation</w:t>
      </w:r>
      <w:bookmarkEnd w:id="41"/>
    </w:p>
    <w:p w14:paraId="425629BA">
      <w:pPr>
        <w:pStyle w:val="3"/>
        <w:numPr>
          <w:ilvl w:val="2"/>
          <w:numId w:val="32"/>
        </w:numPr>
        <w:spacing w:line="360" w:lineRule="auto"/>
        <w:rPr>
          <w:sz w:val="24"/>
          <w:szCs w:val="24"/>
          <w:lang w:val="en-US"/>
        </w:rPr>
      </w:pPr>
      <w:r>
        <w:rPr>
          <w:sz w:val="24"/>
          <w:szCs w:val="24"/>
          <w:lang w:val="en-US"/>
        </w:rPr>
        <w:t xml:space="preserve">Establish Key Performance Indicators (KPIs) for PPP projects. </w:t>
      </w:r>
    </w:p>
    <w:p w14:paraId="7E8B8AED">
      <w:pPr>
        <w:pStyle w:val="3"/>
        <w:numPr>
          <w:ilvl w:val="2"/>
          <w:numId w:val="30"/>
        </w:numPr>
        <w:spacing w:line="360" w:lineRule="auto"/>
        <w:rPr>
          <w:sz w:val="24"/>
          <w:szCs w:val="24"/>
          <w:lang w:val="en-US"/>
        </w:rPr>
      </w:pPr>
      <w:r>
        <w:rPr>
          <w:sz w:val="24"/>
          <w:szCs w:val="24"/>
          <w:lang w:val="en-US"/>
        </w:rPr>
        <w:t xml:space="preserve">Monitor project implementation and ensure compliance with contract terms. </w:t>
      </w:r>
    </w:p>
    <w:p w14:paraId="4A5D9571">
      <w:pPr>
        <w:pStyle w:val="3"/>
        <w:numPr>
          <w:ilvl w:val="2"/>
          <w:numId w:val="30"/>
        </w:numPr>
        <w:spacing w:line="360" w:lineRule="auto"/>
        <w:rPr>
          <w:sz w:val="24"/>
          <w:szCs w:val="24"/>
          <w:lang w:val="en-US"/>
        </w:rPr>
      </w:pPr>
      <w:r>
        <w:rPr>
          <w:sz w:val="24"/>
          <w:szCs w:val="24"/>
          <w:lang w:val="en-US"/>
        </w:rPr>
        <w:t>Generate quarterly and annual reports to university management, and the Council. Commission independent audits/evaluations where necessary.</w:t>
      </w:r>
    </w:p>
    <w:p w14:paraId="033AE6BF">
      <w:pPr>
        <w:pStyle w:val="4"/>
        <w:spacing w:line="360" w:lineRule="auto"/>
        <w:rPr>
          <w:sz w:val="24"/>
          <w:szCs w:val="24"/>
        </w:rPr>
      </w:pPr>
      <w:bookmarkStart w:id="42" w:name="_Toc41"/>
      <w:r>
        <w:rPr>
          <w:sz w:val="24"/>
          <w:szCs w:val="24"/>
          <w:lang w:val="en-US"/>
        </w:rPr>
        <w:t>Capacity Building and Knowledge Management</w:t>
      </w:r>
      <w:bookmarkEnd w:id="42"/>
    </w:p>
    <w:p w14:paraId="05B2E6EF">
      <w:pPr>
        <w:pStyle w:val="3"/>
        <w:numPr>
          <w:ilvl w:val="2"/>
          <w:numId w:val="33"/>
        </w:numPr>
        <w:spacing w:line="360" w:lineRule="auto"/>
        <w:rPr>
          <w:sz w:val="24"/>
          <w:szCs w:val="24"/>
          <w:lang w:val="en-US"/>
        </w:rPr>
      </w:pPr>
      <w:r>
        <w:rPr>
          <w:sz w:val="24"/>
          <w:szCs w:val="24"/>
          <w:lang w:val="en-US"/>
        </w:rPr>
        <w:t>Train university staff and stakeholders on PPP processes.</w:t>
      </w:r>
    </w:p>
    <w:p w14:paraId="3B52257C">
      <w:pPr>
        <w:pStyle w:val="3"/>
        <w:numPr>
          <w:ilvl w:val="2"/>
          <w:numId w:val="30"/>
        </w:numPr>
        <w:spacing w:line="360" w:lineRule="auto"/>
        <w:rPr>
          <w:sz w:val="24"/>
          <w:szCs w:val="24"/>
          <w:lang w:val="en-US"/>
        </w:rPr>
      </w:pPr>
      <w:r>
        <w:rPr>
          <w:sz w:val="24"/>
          <w:szCs w:val="24"/>
          <w:lang w:val="en-US"/>
        </w:rPr>
        <w:t>Maintain a PPP knowledge hub (guidelines, templates, case studies)</w:t>
      </w:r>
    </w:p>
    <w:p w14:paraId="5974DB89">
      <w:pPr>
        <w:pStyle w:val="3"/>
        <w:numPr>
          <w:ilvl w:val="2"/>
          <w:numId w:val="30"/>
        </w:numPr>
        <w:spacing w:line="360" w:lineRule="auto"/>
        <w:rPr>
          <w:sz w:val="24"/>
          <w:szCs w:val="24"/>
          <w:lang w:val="en-US"/>
        </w:rPr>
      </w:pPr>
      <w:r>
        <w:rPr>
          <w:sz w:val="24"/>
          <w:szCs w:val="24"/>
          <w:lang w:val="en-US"/>
        </w:rPr>
        <w:t>Organise workshops, seminars, and stakeholder engagements to promote innovation and inclusiveness</w:t>
      </w:r>
    </w:p>
    <w:p w14:paraId="7316F2A1">
      <w:pPr>
        <w:pStyle w:val="3"/>
        <w:numPr>
          <w:ilvl w:val="2"/>
          <w:numId w:val="30"/>
        </w:numPr>
        <w:spacing w:line="360" w:lineRule="auto"/>
        <w:rPr>
          <w:sz w:val="24"/>
          <w:szCs w:val="24"/>
          <w:lang w:val="en-US"/>
        </w:rPr>
      </w:pPr>
      <w:r>
        <w:rPr>
          <w:sz w:val="24"/>
          <w:szCs w:val="24"/>
          <w:lang w:val="en-US"/>
        </w:rPr>
        <w:t>Turn the unit to PPP institution with the approval of the university council   and senate and   train external candidates in MDAs and the private sector on PPP processes and transactions for a fee.</w:t>
      </w:r>
    </w:p>
    <w:p w14:paraId="5266FEDA">
      <w:pPr>
        <w:pStyle w:val="4"/>
        <w:spacing w:line="360" w:lineRule="auto"/>
        <w:rPr>
          <w:sz w:val="24"/>
          <w:szCs w:val="24"/>
        </w:rPr>
      </w:pPr>
      <w:bookmarkStart w:id="43" w:name="_Toc42"/>
      <w:r>
        <w:rPr>
          <w:sz w:val="24"/>
          <w:szCs w:val="24"/>
          <w:lang w:val="en-US"/>
        </w:rPr>
        <w:t>Internal and External Stakeholder Engagement</w:t>
      </w:r>
      <w:bookmarkEnd w:id="43"/>
    </w:p>
    <w:p w14:paraId="544BCE7B">
      <w:pPr>
        <w:pStyle w:val="3"/>
        <w:numPr>
          <w:ilvl w:val="1"/>
          <w:numId w:val="34"/>
        </w:numPr>
        <w:spacing w:line="360" w:lineRule="auto"/>
        <w:rPr>
          <w:sz w:val="24"/>
          <w:szCs w:val="24"/>
          <w:lang w:val="en-US"/>
        </w:rPr>
      </w:pPr>
      <w:r>
        <w:rPr>
          <w:sz w:val="24"/>
          <w:szCs w:val="24"/>
          <w:lang w:val="en-US"/>
        </w:rPr>
        <w:t>Act as the liaison between alumni investors and PPP project developers.</w:t>
      </w:r>
    </w:p>
    <w:p w14:paraId="7B3D23FD">
      <w:pPr>
        <w:pStyle w:val="3"/>
        <w:numPr>
          <w:ilvl w:val="1"/>
          <w:numId w:val="34"/>
        </w:numPr>
        <w:spacing w:line="360" w:lineRule="auto"/>
        <w:rPr>
          <w:sz w:val="24"/>
          <w:szCs w:val="24"/>
          <w:lang w:val="en-US"/>
        </w:rPr>
      </w:pPr>
      <w:r>
        <w:rPr>
          <w:sz w:val="24"/>
          <w:szCs w:val="24"/>
          <w:lang w:val="en-US"/>
        </w:rPr>
        <w:t xml:space="preserve">Organise  forums, town halls, and investment roadshows to present PPP  opportunities to alumni investors. </w:t>
      </w:r>
    </w:p>
    <w:p w14:paraId="739AA2E8">
      <w:pPr>
        <w:pStyle w:val="3"/>
        <w:numPr>
          <w:ilvl w:val="1"/>
          <w:numId w:val="34"/>
        </w:numPr>
        <w:spacing w:line="360" w:lineRule="auto"/>
        <w:rPr>
          <w:sz w:val="24"/>
          <w:szCs w:val="24"/>
          <w:lang w:val="en-US"/>
        </w:rPr>
      </w:pPr>
      <w:r>
        <w:rPr>
          <w:sz w:val="24"/>
          <w:szCs w:val="24"/>
          <w:lang w:val="en-US"/>
        </w:rPr>
        <w:t>Build partnerships with international alumni networks, foundations, and diaspora investors.</w:t>
      </w:r>
    </w:p>
    <w:p w14:paraId="0E68A42E">
      <w:pPr>
        <w:pStyle w:val="4"/>
        <w:spacing w:line="360" w:lineRule="auto"/>
        <w:rPr>
          <w:sz w:val="24"/>
          <w:szCs w:val="24"/>
        </w:rPr>
      </w:pPr>
      <w:bookmarkStart w:id="44" w:name="_Toc43"/>
      <w:r>
        <w:rPr>
          <w:sz w:val="24"/>
          <w:szCs w:val="24"/>
          <w:lang w:val="en-US"/>
        </w:rPr>
        <w:t>Continuous Review and Policy Feedback</w:t>
      </w:r>
      <w:bookmarkEnd w:id="44"/>
    </w:p>
    <w:p w14:paraId="5F6F42F7">
      <w:pPr>
        <w:pStyle w:val="3"/>
        <w:numPr>
          <w:ilvl w:val="1"/>
          <w:numId w:val="35"/>
        </w:numPr>
        <w:spacing w:line="360" w:lineRule="auto"/>
        <w:rPr>
          <w:sz w:val="24"/>
          <w:szCs w:val="24"/>
          <w:lang w:val="en-US"/>
        </w:rPr>
      </w:pPr>
      <w:r>
        <w:rPr>
          <w:sz w:val="24"/>
          <w:szCs w:val="24"/>
          <w:lang w:val="en-US"/>
        </w:rPr>
        <w:t xml:space="preserve">Regularly review University PPP experiences and feed lessons back into policy updates. </w:t>
      </w:r>
    </w:p>
    <w:p w14:paraId="4A68D7CB">
      <w:pPr>
        <w:pStyle w:val="3"/>
        <w:numPr>
          <w:ilvl w:val="1"/>
          <w:numId w:val="34"/>
        </w:numPr>
        <w:spacing w:line="360" w:lineRule="auto"/>
        <w:rPr>
          <w:sz w:val="24"/>
          <w:szCs w:val="24"/>
          <w:lang w:val="de-DE"/>
        </w:rPr>
      </w:pPr>
      <w:r>
        <w:rPr>
          <w:sz w:val="24"/>
          <w:szCs w:val="24"/>
          <w:lang w:val="de-DE"/>
        </w:rPr>
        <w:t>Benchmark UNN</w:t>
      </w:r>
      <w:r>
        <w:rPr>
          <w:sz w:val="24"/>
          <w:szCs w:val="24"/>
          <w:rtl/>
        </w:rPr>
        <w:t>’</w:t>
      </w:r>
      <w:r>
        <w:rPr>
          <w:sz w:val="24"/>
          <w:szCs w:val="24"/>
          <w:lang w:val="en-US"/>
        </w:rPr>
        <w:t>s PPP practice against national and international best practices.</w:t>
      </w:r>
    </w:p>
    <w:p w14:paraId="332B6D53">
      <w:pPr>
        <w:pStyle w:val="4"/>
        <w:spacing w:line="360" w:lineRule="auto"/>
        <w:rPr>
          <w:sz w:val="24"/>
          <w:szCs w:val="24"/>
        </w:rPr>
      </w:pPr>
      <w:bookmarkStart w:id="45" w:name="_Toc44"/>
      <w:r>
        <w:rPr>
          <w:sz w:val="24"/>
          <w:szCs w:val="24"/>
          <w:lang w:val="en-US"/>
        </w:rPr>
        <w:t>Alumni Impact Investing Coordination</w:t>
      </w:r>
      <w:bookmarkEnd w:id="45"/>
    </w:p>
    <w:p w14:paraId="240DD62E">
      <w:pPr>
        <w:pStyle w:val="3"/>
        <w:numPr>
          <w:ilvl w:val="1"/>
          <w:numId w:val="36"/>
        </w:numPr>
        <w:spacing w:line="360" w:lineRule="auto"/>
        <w:rPr>
          <w:color w:val="EE0000"/>
          <w:sz w:val="24"/>
          <w:szCs w:val="24"/>
          <w:lang w:val="en-US"/>
        </w:rPr>
      </w:pPr>
      <w:r>
        <w:rPr>
          <w:sz w:val="24"/>
          <w:szCs w:val="24"/>
          <w:lang w:val="en-US"/>
        </w:rPr>
        <w:t>Serves as the institutional hub/transaction advisory team for converting (if called upon) alumni donations into impact investments for greater returns</w:t>
      </w:r>
      <w:r>
        <w:rPr>
          <w:color w:val="EE0000"/>
          <w:sz w:val="24"/>
          <w:szCs w:val="24"/>
          <w:lang w:val="en-US"/>
        </w:rPr>
        <w:t xml:space="preserve">. </w:t>
      </w:r>
    </w:p>
    <w:p w14:paraId="41DE720F">
      <w:pPr>
        <w:pStyle w:val="3"/>
        <w:numPr>
          <w:ilvl w:val="1"/>
          <w:numId w:val="36"/>
        </w:numPr>
        <w:spacing w:line="360" w:lineRule="auto"/>
        <w:rPr>
          <w:sz w:val="24"/>
          <w:szCs w:val="24"/>
          <w:lang w:val="en-US"/>
        </w:rPr>
      </w:pPr>
      <w:r>
        <w:rPr>
          <w:sz w:val="24"/>
          <w:szCs w:val="24"/>
          <w:lang w:val="en-US"/>
        </w:rPr>
        <w:t xml:space="preserve">Work in collaboration with the Office of the VC, </w:t>
      </w:r>
      <w:r>
        <w:rPr>
          <w:color w:val="000000" w:themeColor="text1"/>
          <w:sz w:val="24"/>
          <w:szCs w:val="24"/>
          <w:lang w:val="en-US"/>
          <w14:textFill>
            <w14:solidFill>
              <w14:schemeClr w14:val="tx1"/>
            </w14:solidFill>
          </w14:textFill>
        </w:rPr>
        <w:t xml:space="preserve">Alumni Association, </w:t>
      </w:r>
      <w:r>
        <w:rPr>
          <w:sz w:val="24"/>
          <w:szCs w:val="24"/>
          <w:lang w:val="en-US"/>
        </w:rPr>
        <w:t>and Bursary to structure investments within the PPP Projects.</w:t>
      </w:r>
    </w:p>
    <w:p w14:paraId="0DCA9101">
      <w:pPr>
        <w:pStyle w:val="4"/>
        <w:spacing w:line="360" w:lineRule="auto"/>
        <w:rPr>
          <w:sz w:val="24"/>
          <w:szCs w:val="24"/>
        </w:rPr>
      </w:pPr>
      <w:bookmarkStart w:id="46" w:name="_Toc45"/>
      <w:r>
        <w:rPr>
          <w:sz w:val="24"/>
          <w:szCs w:val="24"/>
          <w:lang w:val="en-US"/>
        </w:rPr>
        <w:t>Stakeholder Engagement and Communication</w:t>
      </w:r>
      <w:bookmarkEnd w:id="46"/>
    </w:p>
    <w:p w14:paraId="2F2987E4">
      <w:pPr>
        <w:pStyle w:val="3"/>
        <w:numPr>
          <w:ilvl w:val="2"/>
          <w:numId w:val="36"/>
        </w:numPr>
        <w:spacing w:line="360" w:lineRule="auto"/>
        <w:rPr>
          <w:sz w:val="24"/>
          <w:szCs w:val="24"/>
          <w:lang w:val="en-US"/>
        </w:rPr>
      </w:pPr>
      <w:r>
        <w:rPr>
          <w:sz w:val="24"/>
          <w:szCs w:val="24"/>
          <w:lang w:val="en-US"/>
        </w:rPr>
        <w:t>Serve the one-stop office for private investors seeking to engage with the University.</w:t>
      </w:r>
    </w:p>
    <w:p w14:paraId="674EF5F7">
      <w:pPr>
        <w:pStyle w:val="3"/>
        <w:numPr>
          <w:ilvl w:val="2"/>
          <w:numId w:val="36"/>
        </w:numPr>
        <w:spacing w:line="360" w:lineRule="auto"/>
        <w:rPr>
          <w:sz w:val="24"/>
          <w:szCs w:val="24"/>
          <w:lang w:val="en-US"/>
        </w:rPr>
      </w:pPr>
      <w:r>
        <w:rPr>
          <w:sz w:val="24"/>
          <w:szCs w:val="24"/>
          <w:lang w:val="en-US"/>
        </w:rPr>
        <w:t xml:space="preserve">Build and sustain partnerships with industry, </w:t>
      </w:r>
      <w:r>
        <w:rPr>
          <w:color w:val="000000" w:themeColor="text1"/>
          <w:sz w:val="24"/>
          <w:szCs w:val="24"/>
          <w:lang w:val="en-US"/>
          <w14:textFill>
            <w14:solidFill>
              <w14:schemeClr w14:val="tx1"/>
            </w14:solidFill>
          </w14:textFill>
        </w:rPr>
        <w:t>donors</w:t>
      </w:r>
      <w:r>
        <w:rPr>
          <w:sz w:val="24"/>
          <w:szCs w:val="24"/>
          <w:lang w:val="en-US"/>
        </w:rPr>
        <w:t xml:space="preserve">, development partners, and alumni networks. </w:t>
      </w:r>
    </w:p>
    <w:p w14:paraId="5B3EF126">
      <w:pPr>
        <w:pStyle w:val="3"/>
        <w:numPr>
          <w:ilvl w:val="2"/>
          <w:numId w:val="36"/>
        </w:numPr>
        <w:spacing w:line="360" w:lineRule="auto"/>
        <w:rPr>
          <w:sz w:val="24"/>
          <w:szCs w:val="24"/>
          <w:lang w:val="en-US"/>
        </w:rPr>
      </w:pPr>
      <w:r>
        <w:rPr>
          <w:sz w:val="24"/>
          <w:szCs w:val="24"/>
          <w:lang w:val="en-US"/>
        </w:rPr>
        <w:t>Manage communication and ensure transparency in all PPP engagements.</w:t>
      </w:r>
    </w:p>
    <w:p w14:paraId="18B638A4">
      <w:pPr>
        <w:pStyle w:val="3"/>
        <w:numPr>
          <w:ilvl w:val="2"/>
          <w:numId w:val="36"/>
        </w:numPr>
        <w:spacing w:line="360" w:lineRule="auto"/>
        <w:rPr>
          <w:sz w:val="24"/>
          <w:szCs w:val="24"/>
          <w:lang w:val="en-US"/>
        </w:rPr>
      </w:pPr>
    </w:p>
    <w:p w14:paraId="21A7AC65">
      <w:pPr>
        <w:pStyle w:val="4"/>
        <w:spacing w:line="360" w:lineRule="auto"/>
        <w:rPr>
          <w:sz w:val="24"/>
          <w:szCs w:val="24"/>
        </w:rPr>
      </w:pPr>
      <w:bookmarkStart w:id="47" w:name="_Toc46"/>
      <w:r>
        <w:rPr>
          <w:sz w:val="24"/>
          <w:szCs w:val="24"/>
          <w:lang w:val="en-US"/>
        </w:rPr>
        <w:t>Accountability and Reporting</w:t>
      </w:r>
      <w:bookmarkEnd w:id="47"/>
    </w:p>
    <w:p w14:paraId="388D56BD">
      <w:pPr>
        <w:pStyle w:val="3"/>
        <w:numPr>
          <w:ilvl w:val="2"/>
          <w:numId w:val="37"/>
        </w:numPr>
        <w:spacing w:line="360" w:lineRule="auto"/>
        <w:rPr>
          <w:sz w:val="24"/>
          <w:szCs w:val="24"/>
          <w:lang w:val="en-US"/>
        </w:rPr>
      </w:pPr>
      <w:r>
        <w:rPr>
          <w:sz w:val="24"/>
          <w:szCs w:val="24"/>
          <w:lang w:val="en-US"/>
        </w:rPr>
        <w:t>Develop social impacts KPIs linked to alumni-funded projects (e.g., number of students housed, scholarships supported, CO2 reduced via solar power)</w:t>
      </w:r>
    </w:p>
    <w:p w14:paraId="21456568">
      <w:pPr>
        <w:pStyle w:val="3"/>
        <w:numPr>
          <w:ilvl w:val="2"/>
          <w:numId w:val="37"/>
        </w:numPr>
        <w:spacing w:line="360" w:lineRule="auto"/>
        <w:rPr>
          <w:sz w:val="24"/>
          <w:szCs w:val="24"/>
          <w:lang w:val="en-US"/>
        </w:rPr>
      </w:pPr>
      <w:r>
        <w:rPr>
          <w:sz w:val="24"/>
          <w:szCs w:val="24"/>
          <w:lang w:val="en-US"/>
        </w:rPr>
        <w:t>Publish annual Alumni Impact investment Reports showing both financial steward ships  and measurable outcomes</w:t>
      </w:r>
      <w:r>
        <w:rPr>
          <w:color w:val="EE0000"/>
          <w:sz w:val="24"/>
          <w:szCs w:val="24"/>
          <w:lang w:val="en-US"/>
        </w:rPr>
        <w:t>.</w:t>
      </w:r>
    </w:p>
    <w:p w14:paraId="7E500AF6">
      <w:pPr>
        <w:pStyle w:val="3"/>
        <w:numPr>
          <w:ilvl w:val="2"/>
          <w:numId w:val="37"/>
        </w:numPr>
        <w:spacing w:line="360" w:lineRule="auto"/>
        <w:rPr>
          <w:sz w:val="24"/>
          <w:szCs w:val="24"/>
          <w:lang w:val="en-US"/>
        </w:rPr>
      </w:pPr>
      <w:r>
        <w:rPr>
          <w:sz w:val="24"/>
          <w:szCs w:val="24"/>
          <w:lang w:val="en-US"/>
        </w:rPr>
        <w:t>Provide recognition to contributing alumni (naming rights, impact dashboards, governance participation).</w:t>
      </w:r>
      <w:r>
        <w:rPr>
          <w:color w:val="EE0000"/>
          <w:sz w:val="24"/>
          <w:szCs w:val="24"/>
          <w:lang w:val="en-US"/>
        </w:rPr>
        <w:t xml:space="preserve"> </w:t>
      </w:r>
    </w:p>
    <w:p w14:paraId="5FC18ACF">
      <w:pPr>
        <w:pStyle w:val="4"/>
        <w:spacing w:line="360" w:lineRule="auto"/>
        <w:rPr>
          <w:sz w:val="24"/>
          <w:szCs w:val="24"/>
        </w:rPr>
      </w:pPr>
      <w:bookmarkStart w:id="48" w:name="_Toc47"/>
      <w:r>
        <w:rPr>
          <w:sz w:val="24"/>
          <w:szCs w:val="24"/>
          <w:lang w:val="en-US"/>
        </w:rPr>
        <w:t>Innovation, Sustainability and Inclusiveness</w:t>
      </w:r>
      <w:bookmarkEnd w:id="48"/>
    </w:p>
    <w:p w14:paraId="1EF70264">
      <w:pPr>
        <w:pStyle w:val="3"/>
        <w:numPr>
          <w:ilvl w:val="2"/>
          <w:numId w:val="38"/>
        </w:numPr>
        <w:spacing w:line="360" w:lineRule="auto"/>
        <w:rPr>
          <w:sz w:val="24"/>
          <w:szCs w:val="24"/>
          <w:lang w:val="en-US"/>
        </w:rPr>
      </w:pPr>
      <w:r>
        <w:rPr>
          <w:sz w:val="24"/>
          <w:szCs w:val="24"/>
          <w:lang w:val="en-US"/>
        </w:rPr>
        <w:t>Ensure PPP Projects incorporate:</w:t>
      </w:r>
    </w:p>
    <w:p w14:paraId="05236BFB">
      <w:pPr>
        <w:pStyle w:val="3"/>
        <w:numPr>
          <w:ilvl w:val="2"/>
          <w:numId w:val="37"/>
        </w:numPr>
        <w:spacing w:line="360" w:lineRule="auto"/>
        <w:rPr>
          <w:sz w:val="24"/>
          <w:szCs w:val="24"/>
          <w:lang w:val="en-US"/>
        </w:rPr>
      </w:pPr>
      <w:r>
        <w:rPr>
          <w:sz w:val="24"/>
          <w:szCs w:val="24"/>
          <w:lang w:val="en-US"/>
        </w:rPr>
        <w:t xml:space="preserve">Environmental sustainability (renewable energy, green buildings) </w:t>
      </w:r>
    </w:p>
    <w:p w14:paraId="3AF231C2">
      <w:pPr>
        <w:pStyle w:val="3"/>
        <w:numPr>
          <w:ilvl w:val="2"/>
          <w:numId w:val="37"/>
        </w:numPr>
        <w:spacing w:line="360" w:lineRule="auto"/>
        <w:rPr>
          <w:sz w:val="24"/>
          <w:szCs w:val="24"/>
          <w:lang w:val="en-US"/>
        </w:rPr>
      </w:pPr>
      <w:r>
        <w:rPr>
          <w:sz w:val="24"/>
          <w:szCs w:val="24"/>
          <w:lang w:val="en-US"/>
        </w:rPr>
        <w:t xml:space="preserve">Social safeguards (community engagement, labour standards) </w:t>
      </w:r>
    </w:p>
    <w:p w14:paraId="786BB471">
      <w:pPr>
        <w:pStyle w:val="3"/>
        <w:numPr>
          <w:ilvl w:val="2"/>
          <w:numId w:val="37"/>
        </w:numPr>
        <w:spacing w:line="360" w:lineRule="auto"/>
        <w:rPr>
          <w:sz w:val="24"/>
          <w:szCs w:val="24"/>
          <w:lang w:val="en-US"/>
        </w:rPr>
      </w:pPr>
      <w:r>
        <w:rPr>
          <w:sz w:val="24"/>
          <w:szCs w:val="24"/>
          <w:lang w:val="en-US"/>
        </w:rPr>
        <w:t xml:space="preserve">Inclusiveness (gender, disability, vulnerable groups) </w:t>
      </w:r>
    </w:p>
    <w:p w14:paraId="56F65281">
      <w:pPr>
        <w:pStyle w:val="3"/>
        <w:numPr>
          <w:ilvl w:val="2"/>
          <w:numId w:val="37"/>
        </w:numPr>
        <w:spacing w:line="360" w:lineRule="auto"/>
        <w:rPr>
          <w:sz w:val="24"/>
          <w:szCs w:val="24"/>
          <w:lang w:val="en-US"/>
        </w:rPr>
      </w:pPr>
      <w:r>
        <w:rPr>
          <w:sz w:val="24"/>
          <w:szCs w:val="24"/>
          <w:lang w:val="en-US"/>
        </w:rPr>
        <w:t>Promote innovation in service delivery and research collaboration.</w:t>
      </w:r>
    </w:p>
    <w:p w14:paraId="42C7F7A7">
      <w:pPr>
        <w:pStyle w:val="4"/>
        <w:spacing w:line="360" w:lineRule="auto"/>
        <w:rPr>
          <w:sz w:val="24"/>
          <w:szCs w:val="24"/>
        </w:rPr>
      </w:pPr>
      <w:bookmarkStart w:id="49" w:name="_Toc48"/>
      <w:r>
        <w:rPr>
          <w:sz w:val="24"/>
          <w:szCs w:val="24"/>
          <w:lang w:val="en-US"/>
        </w:rPr>
        <w:t>Project Integration</w:t>
      </w:r>
      <w:bookmarkEnd w:id="49"/>
    </w:p>
    <w:p w14:paraId="0C74A4E0">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color w:val="EE0000"/>
          <w:sz w:val="24"/>
          <w:szCs w:val="24"/>
        </w:rPr>
      </w:pPr>
      <w:r>
        <w:rPr>
          <w:sz w:val="24"/>
          <w:szCs w:val="24"/>
          <w:lang w:val="en-US"/>
        </w:rPr>
        <w:t xml:space="preserve">Integrate alumni impact investment funds into PPP financing structures as: </w:t>
      </w:r>
    </w:p>
    <w:p w14:paraId="71E5EBBB">
      <w:pPr>
        <w:pStyle w:val="25"/>
        <w:numPr>
          <w:ilvl w:val="1"/>
          <w:numId w:val="39"/>
        </w:numPr>
        <w:spacing w:after="0" w:line="360" w:lineRule="auto"/>
        <w:ind w:right="140"/>
        <w:jc w:val="both"/>
        <w:rPr>
          <w:sz w:val="24"/>
          <w:szCs w:val="24"/>
          <w:lang w:val="en-US"/>
        </w:rPr>
      </w:pPr>
      <w:r>
        <w:rPr>
          <w:sz w:val="24"/>
          <w:szCs w:val="24"/>
          <w:lang w:val="en-US"/>
        </w:rPr>
        <w:t>Equity co-financing (with private developers).</w:t>
      </w:r>
    </w:p>
    <w:p w14:paraId="1C915448">
      <w:pPr>
        <w:pStyle w:val="25"/>
        <w:numPr>
          <w:ilvl w:val="1"/>
          <w:numId w:val="39"/>
        </w:numPr>
        <w:spacing w:after="0" w:line="360" w:lineRule="auto"/>
        <w:ind w:right="140"/>
        <w:jc w:val="both"/>
        <w:rPr>
          <w:sz w:val="24"/>
          <w:szCs w:val="24"/>
          <w:lang w:val="en-US"/>
        </w:rPr>
      </w:pPr>
      <w:r>
        <w:rPr>
          <w:sz w:val="24"/>
          <w:szCs w:val="24"/>
          <w:lang w:val="en-US"/>
        </w:rPr>
        <w:t xml:space="preserve">Blended finance/first-loss capital (to de-risk private investments). </w:t>
      </w:r>
    </w:p>
    <w:p w14:paraId="0E5AFE7D">
      <w:pPr>
        <w:pStyle w:val="25"/>
        <w:numPr>
          <w:ilvl w:val="1"/>
          <w:numId w:val="39"/>
        </w:numPr>
        <w:spacing w:after="0" w:line="360" w:lineRule="auto"/>
        <w:ind w:right="140"/>
        <w:jc w:val="both"/>
        <w:rPr>
          <w:sz w:val="24"/>
          <w:szCs w:val="24"/>
          <w:lang w:val="pt-PT"/>
        </w:rPr>
      </w:pPr>
      <w:r>
        <w:rPr>
          <w:sz w:val="24"/>
          <w:szCs w:val="24"/>
          <w:lang w:val="pt-PT"/>
        </w:rPr>
        <w:t>Social</w:t>
      </w:r>
      <w:r>
        <w:rPr>
          <w:sz w:val="24"/>
          <w:szCs w:val="24"/>
          <w:lang w:val="en-US"/>
        </w:rPr>
        <w:t xml:space="preserve"> impact bonds (pay-for-success projects).</w:t>
      </w:r>
    </w:p>
    <w:p w14:paraId="53E1BAF4">
      <w:pPr>
        <w:pStyle w:val="25"/>
        <w:tabs>
          <w:tab w:val="left" w:pos="1152"/>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lang w:val="en-US"/>
        </w:rPr>
      </w:pPr>
    </w:p>
    <w:p w14:paraId="15CE0FAA">
      <w:pPr>
        <w:pStyle w:val="25"/>
        <w:tabs>
          <w:tab w:val="left" w:pos="1152"/>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lang w:val="pt-PT"/>
        </w:rPr>
      </w:pPr>
    </w:p>
    <w:p w14:paraId="1D3BAB40">
      <w:pPr>
        <w:pStyle w:val="4"/>
        <w:spacing w:line="360" w:lineRule="auto"/>
        <w:rPr>
          <w:sz w:val="24"/>
          <w:szCs w:val="24"/>
        </w:rPr>
      </w:pPr>
      <w:bookmarkStart w:id="50" w:name="_Toc49"/>
      <w:r>
        <w:rPr>
          <w:sz w:val="24"/>
          <w:szCs w:val="24"/>
          <w:lang w:val="en-US"/>
        </w:rPr>
        <w:t>Fund Structuring and Management Structure</w:t>
      </w:r>
      <w:bookmarkEnd w:id="50"/>
    </w:p>
    <w:p w14:paraId="15257C76">
      <w:pPr>
        <w:pStyle w:val="23"/>
        <w:numPr>
          <w:ilvl w:val="1"/>
          <w:numId w:val="40"/>
        </w:numPr>
        <w:spacing w:line="360" w:lineRule="auto"/>
        <w:jc w:val="both"/>
        <w:rPr>
          <w:sz w:val="24"/>
          <w:szCs w:val="24"/>
          <w:lang w:val="en-US"/>
        </w:rPr>
      </w:pPr>
      <w:r>
        <w:rPr>
          <w:sz w:val="24"/>
          <w:szCs w:val="24"/>
          <w:lang w:val="en-US"/>
        </w:rPr>
        <w:t xml:space="preserve">The UNN PPP UNIT shall perform technical and advisory responsibilities to UNN Investment and Infrastructure Development Trust Fund (UNNIIDTF), which shall warehouse the transformed University Endowment Impact Investment Vehicle (SPV/Fund)  and other  resources  from  the maiden and subsequent annual Civic Crowd funding. The UNNIIDTF shall ensure alumni impact investment funds or other external generated funds for PPP projects are transparently pooled and deployed into eligible PPP projects (Hotels, ICT, renewable energy, research hubs). The UNNIIDTF shall serve as  the fiscal guardian of the PPP UNIT, while the </w:t>
      </w:r>
      <w:r>
        <w:rPr>
          <w:sz w:val="24"/>
          <w:szCs w:val="24"/>
        </w:rPr>
        <w:t xml:space="preserve">UNN PPP UNIT </w:t>
      </w:r>
      <w:r>
        <w:rPr>
          <w:sz w:val="24"/>
          <w:szCs w:val="24"/>
          <w:lang w:val="en-US"/>
        </w:rPr>
        <w:t>shall serve as the technical driver of PPP projects. The UNNIIDTF shall serve as the gatekeeper of the PPP UNIT and in conjunction with the PPP UNIT serve as the external finance soliciting team of the University. They shall jointly manage financial flows, ensuring minimal financial returns plus maximum social impact.</w:t>
      </w:r>
    </w:p>
    <w:p w14:paraId="5A2475E9">
      <w:pPr>
        <w:pStyle w:val="23"/>
        <w:numPr>
          <w:ilvl w:val="1"/>
          <w:numId w:val="40"/>
        </w:numPr>
        <w:spacing w:line="360" w:lineRule="auto"/>
        <w:jc w:val="both"/>
        <w:rPr>
          <w:sz w:val="24"/>
          <w:szCs w:val="24"/>
          <w:lang w:val="en-US"/>
        </w:rPr>
      </w:pPr>
      <w:r>
        <w:rPr>
          <w:sz w:val="24"/>
          <w:szCs w:val="24"/>
          <w:lang w:val="en-US"/>
        </w:rPr>
        <w:t>The Vice Chancellor shall appoint a development Expert/consultant from the University or industry with proven private sector experience to manage the UNNIIDTF portfolio for a 5year term, renewable for Only another five year term.</w:t>
      </w:r>
    </w:p>
    <w:p w14:paraId="43CC4A94">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0F55EEEE">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6EBBC7CC">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34ECC4D0">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7A472205">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15F11E71">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5E299BDB">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7D4D1358">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10EC21AA">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4DD432A0">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60A702FC">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022A55BE">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2D28057C">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73672702">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57507B13">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458E71C7">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04AFAC06">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626715A7">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27B69FB4">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241995C8">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0493E7E3">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393394DB">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0AE2618A">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29C4A5A7">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7813CC2F">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2A8D2315">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0387A7C9">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063C849E">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5AB85685">
      <w:pPr>
        <w:pStyle w:val="22"/>
      </w:pPr>
    </w:p>
    <w:p w14:paraId="6CDC2433">
      <w:pPr>
        <w:pStyle w:val="24"/>
        <w:rPr>
          <w:rFonts w:ascii="Helvetica Neue" w:hAnsi="Helvetica Neue" w:eastAsia="Helvetica Neue" w:cs="Helvetica Neue"/>
          <w:b/>
          <w:bCs/>
          <w:color w:val="000000"/>
        </w:rPr>
      </w:pPr>
      <w:bookmarkStart w:id="51" w:name="_Toc50"/>
      <w:r>
        <w:rPr>
          <w:rFonts w:ascii="Helvetica Neue" w:hAnsi="Helvetica Neue"/>
          <w:b/>
          <w:bCs/>
          <w:color w:val="000000"/>
          <w:lang w:val="en-US"/>
        </w:rPr>
        <w:t>7.0. overview and types of ppp</w:t>
      </w:r>
      <w:bookmarkEnd w:id="51"/>
    </w:p>
    <w:p w14:paraId="5465AA58">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5B44C882">
      <w:pPr>
        <w:pStyle w:val="3"/>
        <w:spacing w:line="360" w:lineRule="auto"/>
        <w:jc w:val="both"/>
        <w:rPr>
          <w:rFonts w:ascii="Helvetica Neue" w:hAnsi="Helvetica Neue" w:eastAsia="Helvetica Neue" w:cs="Helvetica Neue"/>
          <w:b/>
          <w:bCs/>
          <w:sz w:val="24"/>
          <w:szCs w:val="24"/>
        </w:rPr>
      </w:pPr>
      <w:r>
        <w:rPr>
          <w:sz w:val="24"/>
          <w:szCs w:val="24"/>
          <w:lang w:val="en-US"/>
        </w:rPr>
        <w:t>There are several types and models of PPP depending on the stakeholders involved, their ownership arrangements, and allocations of risk between the private and public partners. The choice of a PPP model in UNN shall depend on the target  of the University (e.g. improving service efficiency, transferring investment risk, maintaining service control) with respect to a particular project.</w:t>
      </w:r>
    </w:p>
    <w:p w14:paraId="78CD1B8F">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6FA73236">
      <w:pPr>
        <w:pStyle w:val="2"/>
        <w:rPr>
          <w:color w:val="000000"/>
        </w:rPr>
      </w:pPr>
      <w:bookmarkStart w:id="52" w:name="_Toc51"/>
      <w:r>
        <w:rPr>
          <w:color w:val="000000"/>
          <w:lang w:val="en-US"/>
        </w:rPr>
        <w:t>7.1 Types of PPP</w:t>
      </w:r>
      <w:bookmarkEnd w:id="52"/>
      <w:r>
        <w:rPr>
          <w:color w:val="000000"/>
          <w:lang w:val="en-US"/>
        </w:rPr>
        <w:t xml:space="preserve"> that UNN Shall Pursue </w:t>
      </w:r>
    </w:p>
    <w:p w14:paraId="7C3E25CB">
      <w:pPr>
        <w:pStyle w:val="3"/>
        <w:numPr>
          <w:ilvl w:val="1"/>
          <w:numId w:val="41"/>
        </w:numPr>
        <w:spacing w:line="360" w:lineRule="auto"/>
        <w:jc w:val="both"/>
        <w:rPr>
          <w:sz w:val="24"/>
          <w:szCs w:val="24"/>
          <w:lang w:val="en-US"/>
        </w:rPr>
      </w:pPr>
      <w:r>
        <w:rPr>
          <w:sz w:val="24"/>
          <w:szCs w:val="24"/>
          <w:lang w:val="en-US"/>
        </w:rPr>
        <w:t xml:space="preserve"> A project to develop infrastructure on previously undeveloped land or build new infrastructure such as a hostel, hotel, sports complex and leisure park </w:t>
      </w:r>
      <w:r>
        <w:rPr>
          <w:color w:val="000000" w:themeColor="text1"/>
          <w:sz w:val="24"/>
          <w:szCs w:val="24"/>
          <w:lang w:val="en-US"/>
          <w14:textFill>
            <w14:solidFill>
              <w14:schemeClr w14:val="tx1"/>
            </w14:solidFill>
          </w14:textFill>
        </w:rPr>
        <w:t>(BOT)</w:t>
      </w:r>
      <w:r>
        <w:rPr>
          <w:sz w:val="24"/>
          <w:szCs w:val="24"/>
          <w:lang w:val="en-US"/>
        </w:rPr>
        <w:t xml:space="preserve">. </w:t>
      </w:r>
    </w:p>
    <w:p w14:paraId="773CD767">
      <w:pPr>
        <w:pStyle w:val="3"/>
        <w:numPr>
          <w:ilvl w:val="1"/>
          <w:numId w:val="42"/>
        </w:numPr>
        <w:spacing w:line="360" w:lineRule="auto"/>
        <w:jc w:val="both"/>
        <w:rPr>
          <w:sz w:val="24"/>
          <w:szCs w:val="24"/>
          <w:lang w:val="en-US"/>
        </w:rPr>
      </w:pPr>
      <w:r>
        <w:rPr>
          <w:sz w:val="24"/>
          <w:szCs w:val="24"/>
          <w:lang w:val="en-US"/>
        </w:rPr>
        <w:t xml:space="preserve"> A project to rehabilitate existing infrastructure or to add new infrastructure. This shall include upgrading or renovating of an existing hostel, laboratory building, or staff building or adding new buildings or facilities to an existing site.  </w:t>
      </w:r>
    </w:p>
    <w:p w14:paraId="74207197">
      <w:pPr>
        <w:pStyle w:val="3"/>
        <w:numPr>
          <w:ilvl w:val="1"/>
          <w:numId w:val="42"/>
        </w:numPr>
        <w:spacing w:line="360" w:lineRule="auto"/>
        <w:jc w:val="both"/>
        <w:rPr>
          <w:sz w:val="24"/>
          <w:szCs w:val="24"/>
          <w:lang w:val="en-US"/>
        </w:rPr>
      </w:pPr>
      <w:r>
        <w:rPr>
          <w:sz w:val="24"/>
          <w:szCs w:val="24"/>
          <w:lang w:val="en-US"/>
        </w:rPr>
        <w:t xml:space="preserve"> Short- to medium-term contract with a private firm for operating services. </w:t>
      </w:r>
    </w:p>
    <w:p w14:paraId="1BB2B2B5">
      <w:pPr>
        <w:pStyle w:val="3"/>
        <w:numPr>
          <w:ilvl w:val="1"/>
          <w:numId w:val="42"/>
        </w:numPr>
        <w:spacing w:line="360" w:lineRule="auto"/>
        <w:jc w:val="both"/>
        <w:rPr>
          <w:sz w:val="24"/>
          <w:szCs w:val="24"/>
          <w:lang w:val="en-US"/>
        </w:rPr>
      </w:pPr>
      <w:r>
        <w:rPr>
          <w:sz w:val="24"/>
          <w:szCs w:val="24"/>
          <w:lang w:val="en-US"/>
        </w:rPr>
        <w:t xml:space="preserve"> Long-term lease with private developer who commits to construct, operate and maintain the project. </w:t>
      </w:r>
    </w:p>
    <w:p w14:paraId="317E7F2E">
      <w:pPr>
        <w:pStyle w:val="3"/>
        <w:numPr>
          <w:ilvl w:val="1"/>
          <w:numId w:val="42"/>
        </w:numPr>
        <w:spacing w:line="360" w:lineRule="auto"/>
        <w:jc w:val="both"/>
        <w:rPr>
          <w:sz w:val="24"/>
          <w:szCs w:val="24"/>
          <w:lang w:val="en-US"/>
        </w:rPr>
      </w:pPr>
      <w:r>
        <w:rPr>
          <w:sz w:val="24"/>
          <w:szCs w:val="24"/>
          <w:lang w:val="en-US"/>
        </w:rPr>
        <w:t xml:space="preserve"> Long-term concession with private developer to construct, operate, maintain and finance the project in exchange for annual payments subject to abatement for nonperformance </w:t>
      </w:r>
    </w:p>
    <w:p w14:paraId="5CE1CEBE">
      <w:pPr>
        <w:pStyle w:val="3"/>
        <w:numPr>
          <w:ilvl w:val="1"/>
          <w:numId w:val="42"/>
        </w:numPr>
        <w:spacing w:line="360" w:lineRule="auto"/>
        <w:jc w:val="both"/>
        <w:rPr>
          <w:sz w:val="24"/>
          <w:szCs w:val="24"/>
          <w:lang w:val="en-US"/>
        </w:rPr>
      </w:pPr>
      <w:r>
        <w:rPr>
          <w:sz w:val="24"/>
          <w:szCs w:val="24"/>
          <w:lang w:val="en-US"/>
        </w:rPr>
        <w:t>Long-term concession with a private developer to construct, operate, maintain and finance the project in exchange for rights to collect revenues related to the project.</w:t>
      </w:r>
    </w:p>
    <w:p w14:paraId="6B6520F9">
      <w:pPr>
        <w:pStyle w:val="3"/>
        <w:numPr>
          <w:ilvl w:val="1"/>
          <w:numId w:val="42"/>
        </w:numPr>
        <w:spacing w:line="360" w:lineRule="auto"/>
        <w:jc w:val="both"/>
        <w:rPr>
          <w:sz w:val="24"/>
          <w:szCs w:val="24"/>
          <w:lang w:val="en-US"/>
        </w:rPr>
      </w:pPr>
      <w:r>
        <w:rPr>
          <w:sz w:val="24"/>
          <w:szCs w:val="24"/>
          <w:lang w:val="en-US"/>
        </w:rPr>
        <w:t xml:space="preserve">Concessioning of existing IGR entities in the University, such as hostels, hospitality and lodging facilities, businesses, etc. </w:t>
      </w:r>
    </w:p>
    <w:p w14:paraId="5DC5305B">
      <w:pPr>
        <w:pStyle w:val="24"/>
      </w:pPr>
    </w:p>
    <w:p w14:paraId="70DCEB06">
      <w:pPr>
        <w:pStyle w:val="2"/>
        <w:spacing w:line="360" w:lineRule="auto"/>
        <w:rPr>
          <w:color w:val="000000"/>
        </w:rPr>
      </w:pPr>
    </w:p>
    <w:p w14:paraId="66312875">
      <w:pPr>
        <w:pStyle w:val="2"/>
        <w:spacing w:line="360" w:lineRule="auto"/>
        <w:rPr>
          <w:color w:val="000000"/>
        </w:rPr>
      </w:pPr>
      <w:bookmarkStart w:id="53" w:name="_Toc52"/>
      <w:r>
        <w:rPr>
          <w:color w:val="000000"/>
          <w:lang w:val="en-US"/>
        </w:rPr>
        <w:t>7.2. Operational Models of PPP in UNN</w:t>
      </w:r>
      <w:r>
        <w:rPr>
          <w:color w:val="000000"/>
          <w:lang w:val="en-US" w:eastAsia="en-US"/>
        </w:rPr>
        <w:drawing>
          <wp:anchor distT="152400" distB="152400" distL="152400" distR="152400" simplePos="0" relativeHeight="251662336" behindDoc="0" locked="0" layoutInCell="1" allowOverlap="1">
            <wp:simplePos x="0" y="0"/>
            <wp:positionH relativeFrom="margin">
              <wp:posOffset>-159385</wp:posOffset>
            </wp:positionH>
            <wp:positionV relativeFrom="line">
              <wp:posOffset>396240</wp:posOffset>
            </wp:positionV>
            <wp:extent cx="5986145" cy="5265420"/>
            <wp:effectExtent l="0" t="0" r="0" b="0"/>
            <wp:wrapThrough wrapText="bothSides">
              <wp:wrapPolygon>
                <wp:start x="0" y="0"/>
                <wp:lineTo x="0" y="21601"/>
                <wp:lineTo x="21599" y="21601"/>
                <wp:lineTo x="21599" y="0"/>
                <wp:lineTo x="0" y="0"/>
              </wp:wrapPolygon>
            </wp:wrapThrough>
            <wp:docPr id="1073741828" name="officeArt object"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officeArt object" descr="Image"/>
                    <pic:cNvPicPr>
                      <a:picLocks noChangeAspect="1"/>
                    </pic:cNvPicPr>
                  </pic:nvPicPr>
                  <pic:blipFill>
                    <a:blip r:embed="rId9"/>
                    <a:srcRect/>
                    <a:stretch>
                      <a:fillRect/>
                    </a:stretch>
                  </pic:blipFill>
                  <pic:spPr>
                    <a:xfrm>
                      <a:off x="0" y="0"/>
                      <a:ext cx="5985842" cy="5265216"/>
                    </a:xfrm>
                    <a:prstGeom prst="rect">
                      <a:avLst/>
                    </a:prstGeom>
                    <a:ln w="12700" cap="flat">
                      <a:noFill/>
                      <a:miter lim="400000"/>
                      <a:headEnd/>
                      <a:tailEnd/>
                    </a:ln>
                    <a:effectLst/>
                  </pic:spPr>
                </pic:pic>
              </a:graphicData>
            </a:graphic>
          </wp:anchor>
        </w:drawing>
      </w:r>
      <w:bookmarkEnd w:id="53"/>
    </w:p>
    <w:p w14:paraId="06EA0446">
      <w:pPr>
        <w:pStyle w:val="3"/>
      </w:pPr>
    </w:p>
    <w:p w14:paraId="5AB296E4">
      <w:pPr>
        <w:pStyle w:val="3"/>
      </w:pPr>
    </w:p>
    <w:p w14:paraId="1053A224">
      <w:pPr>
        <w:pStyle w:val="3"/>
      </w:pPr>
    </w:p>
    <w:p w14:paraId="737FF579">
      <w:pPr>
        <w:pStyle w:val="3"/>
      </w:pPr>
    </w:p>
    <w:p w14:paraId="0EF91E38">
      <w:pPr>
        <w:pStyle w:val="3"/>
      </w:pPr>
    </w:p>
    <w:p w14:paraId="0608F62E">
      <w:pPr>
        <w:pStyle w:val="3"/>
      </w:pPr>
    </w:p>
    <w:p w14:paraId="20D90028">
      <w:pPr>
        <w:pStyle w:val="3"/>
      </w:pPr>
    </w:p>
    <w:p w14:paraId="3FE7AFE9">
      <w:pPr>
        <w:pStyle w:val="3"/>
      </w:pPr>
    </w:p>
    <w:p w14:paraId="36544C05">
      <w:pPr>
        <w:pStyle w:val="3"/>
      </w:pPr>
    </w:p>
    <w:p w14:paraId="5AF53581">
      <w:pPr>
        <w:pStyle w:val="22"/>
      </w:pPr>
    </w:p>
    <w:p w14:paraId="0C127FF7">
      <w:pPr>
        <w:pStyle w:val="24"/>
        <w:rPr>
          <w:rFonts w:ascii="Helvetica Neue" w:hAnsi="Helvetica Neue" w:eastAsia="Helvetica Neue" w:cs="Helvetica Neue"/>
          <w:b/>
          <w:bCs/>
          <w:color w:val="000000"/>
        </w:rPr>
      </w:pPr>
      <w:bookmarkStart w:id="54" w:name="_Toc53"/>
      <w:r>
        <w:rPr>
          <w:rFonts w:ascii="Helvetica Neue" w:hAnsi="Helvetica Neue"/>
          <w:b/>
          <w:bCs/>
          <w:color w:val="000000"/>
          <w:lang w:val="en-US"/>
        </w:rPr>
        <w:t xml:space="preserve">8.0. project selection and development </w:t>
      </w:r>
      <w:bookmarkEnd w:id="54"/>
    </w:p>
    <w:p w14:paraId="3CC3E200">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41C1E77A">
      <w:pPr>
        <w:pStyle w:val="3"/>
        <w:spacing w:line="360" w:lineRule="auto"/>
        <w:jc w:val="both"/>
        <w:rPr>
          <w:sz w:val="24"/>
          <w:szCs w:val="24"/>
        </w:rPr>
      </w:pPr>
      <w:r>
        <w:rPr>
          <w:sz w:val="24"/>
          <w:szCs w:val="24"/>
          <w:lang w:val="en-US"/>
        </w:rPr>
        <w:t>The University of Nigeria PPP on-boarding process shall follow the steps described below. The steps are the globally typical project life cycle for the development and execution of approved PPP projects that involve the provision of infrastructure and related services:</w:t>
      </w:r>
    </w:p>
    <w:p w14:paraId="46DA061E">
      <w:pPr>
        <w:pStyle w:val="2"/>
        <w:spacing w:line="360" w:lineRule="auto"/>
        <w:rPr>
          <w:color w:val="000000"/>
          <w:sz w:val="24"/>
          <w:szCs w:val="24"/>
        </w:rPr>
      </w:pPr>
      <w:bookmarkStart w:id="55" w:name="_Toc54"/>
      <w:r>
        <w:rPr>
          <w:color w:val="000000"/>
          <w:sz w:val="24"/>
          <w:szCs w:val="24"/>
          <w:lang w:val="en-US"/>
        </w:rPr>
        <w:t>8.1 Identification of the Project Needs in the University</w:t>
      </w:r>
      <w:bookmarkEnd w:id="55"/>
    </w:p>
    <w:p w14:paraId="35297BB9">
      <w:pPr>
        <w:pStyle w:val="23"/>
      </w:pPr>
    </w:p>
    <w:p w14:paraId="137C4559">
      <w:pPr>
        <w:pStyle w:val="3"/>
        <w:numPr>
          <w:ilvl w:val="1"/>
          <w:numId w:val="43"/>
        </w:numPr>
        <w:spacing w:line="360" w:lineRule="auto"/>
        <w:jc w:val="both"/>
        <w:rPr>
          <w:sz w:val="24"/>
          <w:szCs w:val="24"/>
          <w:lang w:val="en-US"/>
        </w:rPr>
      </w:pPr>
      <w:r>
        <w:rPr>
          <w:sz w:val="24"/>
          <w:szCs w:val="24"/>
          <w:lang w:val="en-US"/>
        </w:rPr>
        <w:t>Once a project is identified as a prospective PPP project, the PPP Unit shall in collaboration with the key project stakeholders including but not limited to the likely primary beneficiaries, workers if it is an existing enterprise, and those that the project will impact in any way, make a case to the Vice Chancellor presenting the need for private sector intervention.</w:t>
      </w:r>
    </w:p>
    <w:p w14:paraId="217D1258">
      <w:pPr>
        <w:pStyle w:val="3"/>
        <w:numPr>
          <w:ilvl w:val="1"/>
          <w:numId w:val="43"/>
        </w:numPr>
        <w:spacing w:line="360" w:lineRule="auto"/>
        <w:jc w:val="both"/>
        <w:rPr>
          <w:sz w:val="24"/>
          <w:szCs w:val="24"/>
          <w:lang w:val="en-US"/>
        </w:rPr>
      </w:pPr>
      <w:r>
        <w:rPr>
          <w:sz w:val="24"/>
          <w:szCs w:val="24"/>
          <w:lang w:val="en-US"/>
        </w:rPr>
        <w:t>Once a project has been selected and approval obtained to be explored as a PPP, especially with reference to the projects that will entail the acquisition of  already existing  assets of the university ,the Vice Chancellor may set up a committee made up of the relevant expertise drawn from the university community for the specific project to  work with  the  PPP  unit. The Committee shall do the asset value estimation (for a brown field project/existing assets). It is on this basis of the ad hoc committee report that other processes of advertising, shortlisting, screening, and  engaging the private sector partner shall commence.     For green field projects, the PPP Unit shall handle the detailed financial, technical, and legal work required to implement the PPP.</w:t>
      </w:r>
    </w:p>
    <w:p w14:paraId="5635777C">
      <w:pPr>
        <w:pStyle w:val="3"/>
        <w:numPr>
          <w:ilvl w:val="1"/>
          <w:numId w:val="43"/>
        </w:numPr>
        <w:spacing w:line="360" w:lineRule="auto"/>
        <w:jc w:val="both"/>
        <w:rPr>
          <w:sz w:val="24"/>
          <w:szCs w:val="24"/>
          <w:lang w:val="en-US"/>
        </w:rPr>
      </w:pPr>
      <w:r>
        <w:rPr>
          <w:sz w:val="24"/>
          <w:szCs w:val="24"/>
          <w:lang w:val="en-US"/>
        </w:rPr>
        <w:t>Due to the uniqueness of each project, the UNN PPP UNIT shall develop rules, regulations and guidelines wherever maybe required for each step of the procurement life cycle of the PPP project.</w:t>
      </w:r>
    </w:p>
    <w:p w14:paraId="553F1207">
      <w:pPr>
        <w:pStyle w:val="2"/>
        <w:rPr>
          <w:color w:val="000000"/>
          <w:sz w:val="24"/>
          <w:szCs w:val="24"/>
        </w:rPr>
      </w:pPr>
      <w:bookmarkStart w:id="56" w:name="_Toc55"/>
      <w:r>
        <w:rPr>
          <w:color w:val="000000"/>
          <w:sz w:val="24"/>
          <w:szCs w:val="24"/>
          <w:lang w:val="en-US"/>
        </w:rPr>
        <w:t xml:space="preserve">8.2. Feasibility Study </w:t>
      </w:r>
      <w:bookmarkEnd w:id="56"/>
    </w:p>
    <w:p w14:paraId="6FA37D0B">
      <w:pPr>
        <w:pStyle w:val="3"/>
      </w:pPr>
    </w:p>
    <w:tbl>
      <w:tblPr>
        <w:tblStyle w:val="6"/>
        <w:tblW w:w="9360" w:type="dxa"/>
        <w:tblInd w:w="108" w:type="dxa"/>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Layout w:type="fixed"/>
        <w:tblCellMar>
          <w:top w:w="0" w:type="dxa"/>
          <w:left w:w="108" w:type="dxa"/>
          <w:bottom w:w="0" w:type="dxa"/>
          <w:right w:w="108" w:type="dxa"/>
        </w:tblCellMar>
      </w:tblPr>
      <w:tblGrid>
        <w:gridCol w:w="1810"/>
        <w:gridCol w:w="3581"/>
        <w:gridCol w:w="3969"/>
      </w:tblGrid>
      <w:tr w14:paraId="42B1F3D4">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035" w:hRule="atLeast"/>
        </w:trPr>
        <w:tc>
          <w:tcPr>
            <w:tcW w:w="1809" w:type="dxa"/>
            <w:tcBorders>
              <w:top w:val="nil"/>
              <w:left w:val="nil"/>
              <w:bottom w:val="dotted" w:color="919191" w:sz="6" w:space="0"/>
              <w:right w:val="single" w:color="919191" w:sz="2" w:space="0"/>
            </w:tcBorders>
            <w:tcMar>
              <w:top w:w="15" w:type="dxa"/>
              <w:left w:w="15" w:type="dxa"/>
              <w:bottom w:w="0" w:type="dxa"/>
              <w:right w:w="15" w:type="dxa"/>
            </w:tcMar>
          </w:tcPr>
          <w:p w14:paraId="6E00FB6A">
            <w:pPr>
              <w:pStyle w:val="4"/>
              <w:spacing w:line="360" w:lineRule="auto"/>
            </w:pPr>
            <w:r>
              <w:rPr>
                <w:b/>
                <w:bCs/>
              </w:rPr>
              <w:t>Relevant stage of the Feasibility Study</w:t>
            </w:r>
          </w:p>
        </w:tc>
        <w:tc>
          <w:tcPr>
            <w:tcW w:w="3581" w:type="dxa"/>
            <w:tcBorders>
              <w:top w:val="nil"/>
              <w:left w:val="single" w:color="919191" w:sz="2" w:space="0"/>
              <w:bottom w:val="dotted" w:color="919191" w:sz="6" w:space="0"/>
              <w:right w:val="single" w:color="919191" w:sz="2" w:space="0"/>
            </w:tcBorders>
            <w:tcMar>
              <w:top w:w="15" w:type="dxa"/>
              <w:left w:w="15" w:type="dxa"/>
              <w:bottom w:w="0" w:type="dxa"/>
              <w:right w:w="15" w:type="dxa"/>
            </w:tcMar>
          </w:tcPr>
          <w:p w14:paraId="36BA0B6B">
            <w:pPr>
              <w:pStyle w:val="4"/>
              <w:spacing w:line="360" w:lineRule="auto"/>
            </w:pPr>
            <w:r>
              <w:rPr>
                <w:b/>
                <w:bCs/>
              </w:rPr>
              <w:t>Brief description</w:t>
            </w:r>
          </w:p>
        </w:tc>
        <w:tc>
          <w:tcPr>
            <w:tcW w:w="3969" w:type="dxa"/>
            <w:tcBorders>
              <w:top w:val="nil"/>
              <w:left w:val="single" w:color="919191" w:sz="2" w:space="0"/>
              <w:bottom w:val="dotted" w:color="919191" w:sz="6" w:space="0"/>
              <w:right w:val="nil"/>
            </w:tcBorders>
            <w:tcMar>
              <w:top w:w="15" w:type="dxa"/>
              <w:left w:w="15" w:type="dxa"/>
              <w:bottom w:w="0" w:type="dxa"/>
              <w:right w:w="15" w:type="dxa"/>
            </w:tcMar>
          </w:tcPr>
          <w:p w14:paraId="1A54CFBB">
            <w:pPr>
              <w:pStyle w:val="4"/>
              <w:spacing w:line="360" w:lineRule="auto"/>
            </w:pPr>
            <w:r>
              <w:rPr>
                <w:b/>
                <w:bCs/>
              </w:rPr>
              <w:t>Feasibility phase task</w:t>
            </w:r>
          </w:p>
        </w:tc>
      </w:tr>
      <w:tr w14:paraId="5387D8F3">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648" w:hRule="atLeast"/>
        </w:trPr>
        <w:tc>
          <w:tcPr>
            <w:tcW w:w="1809" w:type="dxa"/>
            <w:tcBorders>
              <w:top w:val="dotted" w:color="919191" w:sz="6" w:space="0"/>
              <w:left w:val="nil"/>
              <w:bottom w:val="dotted" w:color="919191" w:sz="6" w:space="0"/>
              <w:right w:val="single" w:color="919191" w:sz="2" w:space="0"/>
            </w:tcBorders>
            <w:shd w:val="clear" w:color="auto" w:fill="EEEEEE"/>
            <w:tcMar>
              <w:top w:w="15" w:type="dxa"/>
              <w:left w:w="15" w:type="dxa"/>
              <w:bottom w:w="0" w:type="dxa"/>
              <w:right w:w="155" w:type="dxa"/>
            </w:tcMar>
          </w:tcPr>
          <w:p w14:paraId="3FE3DD03">
            <w:pPr>
              <w:pStyle w:val="26"/>
              <w:tabs>
                <w:tab w:val="left" w:pos="560"/>
                <w:tab w:val="left" w:pos="1120"/>
                <w:tab w:val="left" w:pos="1680"/>
              </w:tabs>
              <w:spacing w:line="360" w:lineRule="auto"/>
              <w:ind w:right="140"/>
              <w:jc w:val="both"/>
            </w:pPr>
            <w:r>
              <w:rPr>
                <w:sz w:val="24"/>
                <w:szCs w:val="24"/>
              </w:rPr>
              <w:t>Output specifications</w:t>
            </w:r>
          </w:p>
        </w:tc>
        <w:tc>
          <w:tcPr>
            <w:tcW w:w="3581" w:type="dxa"/>
            <w:tcBorders>
              <w:top w:val="dotted" w:color="919191" w:sz="6" w:space="0"/>
              <w:left w:val="single" w:color="919191" w:sz="2" w:space="0"/>
              <w:bottom w:val="dotted" w:color="919191" w:sz="6" w:space="0"/>
              <w:right w:val="single" w:color="919191" w:sz="2" w:space="0"/>
            </w:tcBorders>
            <w:shd w:val="clear" w:color="auto" w:fill="EEEEEE"/>
            <w:tcMar>
              <w:top w:w="15" w:type="dxa"/>
              <w:left w:w="15" w:type="dxa"/>
              <w:bottom w:w="0" w:type="dxa"/>
              <w:right w:w="155" w:type="dxa"/>
            </w:tcMar>
          </w:tcPr>
          <w:p w14:paraId="23A2A37E">
            <w:pPr>
              <w:pStyle w:val="26"/>
              <w:tabs>
                <w:tab w:val="left" w:pos="560"/>
                <w:tab w:val="left" w:pos="1120"/>
                <w:tab w:val="left" w:pos="1680"/>
                <w:tab w:val="left" w:pos="2240"/>
                <w:tab w:val="left" w:pos="2800"/>
                <w:tab w:val="left" w:pos="3360"/>
              </w:tabs>
              <w:spacing w:line="360" w:lineRule="auto"/>
              <w:ind w:right="140"/>
              <w:jc w:val="both"/>
            </w:pPr>
            <w:r>
              <w:rPr>
                <w:sz w:val="24"/>
                <w:szCs w:val="24"/>
              </w:rPr>
              <w:t>To clearly identify what the institution wants to deliver</w:t>
            </w:r>
          </w:p>
        </w:tc>
        <w:tc>
          <w:tcPr>
            <w:tcW w:w="3969" w:type="dxa"/>
            <w:tcBorders>
              <w:top w:val="dotted" w:color="919191" w:sz="6" w:space="0"/>
              <w:left w:val="single" w:color="919191" w:sz="2" w:space="0"/>
              <w:bottom w:val="dotted" w:color="919191" w:sz="6" w:space="0"/>
              <w:right w:val="nil"/>
            </w:tcBorders>
            <w:shd w:val="clear" w:color="auto" w:fill="EEEEEE"/>
            <w:tcMar>
              <w:top w:w="15" w:type="dxa"/>
              <w:left w:w="15" w:type="dxa"/>
              <w:bottom w:w="0" w:type="dxa"/>
              <w:right w:w="155" w:type="dxa"/>
            </w:tcMar>
          </w:tcPr>
          <w:p w14:paraId="3166E5BA">
            <w:pPr>
              <w:pStyle w:val="26"/>
              <w:tabs>
                <w:tab w:val="left" w:pos="560"/>
                <w:tab w:val="left" w:pos="1120"/>
                <w:tab w:val="left" w:pos="1680"/>
                <w:tab w:val="left" w:pos="2240"/>
                <w:tab w:val="left" w:pos="2800"/>
                <w:tab w:val="left" w:pos="3360"/>
                <w:tab w:val="left" w:pos="3920"/>
              </w:tabs>
              <w:spacing w:line="360" w:lineRule="auto"/>
              <w:ind w:right="140"/>
              <w:jc w:val="both"/>
            </w:pPr>
            <w:r>
              <w:rPr>
                <w:sz w:val="24"/>
                <w:szCs w:val="24"/>
              </w:rPr>
              <w:t>Draw up a list of outputs that UNN PPP UNIT wishes to achieve in the project, using the PPP balanced scored</w:t>
            </w:r>
          </w:p>
        </w:tc>
      </w:tr>
      <w:tr w14:paraId="52D6E872">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987" w:hRule="atLeast"/>
        </w:trPr>
        <w:tc>
          <w:tcPr>
            <w:tcW w:w="1809" w:type="dxa"/>
            <w:tcBorders>
              <w:top w:val="dotted" w:color="919191" w:sz="6" w:space="0"/>
              <w:left w:val="nil"/>
              <w:bottom w:val="dotted" w:color="919191" w:sz="6" w:space="0"/>
              <w:right w:val="single" w:color="919191" w:sz="2" w:space="0"/>
            </w:tcBorders>
            <w:tcMar>
              <w:top w:w="15" w:type="dxa"/>
              <w:left w:w="15" w:type="dxa"/>
              <w:bottom w:w="0" w:type="dxa"/>
              <w:right w:w="155" w:type="dxa"/>
            </w:tcMar>
          </w:tcPr>
          <w:p w14:paraId="1D9ACDF4">
            <w:pPr>
              <w:pStyle w:val="26"/>
              <w:tabs>
                <w:tab w:val="left" w:pos="560"/>
                <w:tab w:val="left" w:pos="1120"/>
                <w:tab w:val="left" w:pos="1680"/>
              </w:tabs>
              <w:spacing w:line="360" w:lineRule="auto"/>
              <w:ind w:right="140"/>
              <w:jc w:val="both"/>
            </w:pPr>
            <w:r>
              <w:rPr>
                <w:sz w:val="24"/>
                <w:szCs w:val="24"/>
              </w:rPr>
              <w:t>Solution options analysis</w:t>
            </w:r>
          </w:p>
        </w:tc>
        <w:tc>
          <w:tcPr>
            <w:tcW w:w="3581" w:type="dxa"/>
            <w:tcBorders>
              <w:top w:val="dotted" w:color="919191" w:sz="6" w:space="0"/>
              <w:left w:val="single" w:color="919191" w:sz="2" w:space="0"/>
              <w:bottom w:val="dotted" w:color="919191" w:sz="6" w:space="0"/>
              <w:right w:val="single" w:color="919191" w:sz="2" w:space="0"/>
            </w:tcBorders>
            <w:tcMar>
              <w:top w:w="15" w:type="dxa"/>
              <w:left w:w="15" w:type="dxa"/>
              <w:bottom w:w="0" w:type="dxa"/>
              <w:right w:w="155" w:type="dxa"/>
            </w:tcMar>
          </w:tcPr>
          <w:p w14:paraId="56DBBDCA">
            <w:pPr>
              <w:pStyle w:val="26"/>
              <w:tabs>
                <w:tab w:val="left" w:pos="560"/>
                <w:tab w:val="left" w:pos="1120"/>
                <w:tab w:val="left" w:pos="1680"/>
                <w:tab w:val="left" w:pos="2240"/>
                <w:tab w:val="left" w:pos="2800"/>
                <w:tab w:val="left" w:pos="3360"/>
              </w:tabs>
              <w:spacing w:line="360" w:lineRule="auto"/>
              <w:ind w:right="140"/>
              <w:jc w:val="both"/>
            </w:pPr>
            <w:r>
              <w:rPr>
                <w:sz w:val="24"/>
                <w:szCs w:val="24"/>
              </w:rPr>
              <w:t>To identify the pros and cons of each option that can meet the Institution’s needs and output specifications, to examine the risks, benefits and impacts for the University of each, and to select a preferred option.</w:t>
            </w:r>
          </w:p>
        </w:tc>
        <w:tc>
          <w:tcPr>
            <w:tcW w:w="3969" w:type="dxa"/>
            <w:tcBorders>
              <w:top w:val="dotted" w:color="919191" w:sz="6" w:space="0"/>
              <w:left w:val="single" w:color="919191" w:sz="2" w:space="0"/>
              <w:bottom w:val="dotted" w:color="919191" w:sz="6" w:space="0"/>
              <w:right w:val="nil"/>
            </w:tcBorders>
            <w:tcMar>
              <w:top w:w="15" w:type="dxa"/>
              <w:left w:w="15" w:type="dxa"/>
              <w:bottom w:w="0" w:type="dxa"/>
              <w:right w:w="155" w:type="dxa"/>
            </w:tcMar>
          </w:tcPr>
          <w:p w14:paraId="470CD868">
            <w:pPr>
              <w:pStyle w:val="26"/>
              <w:tabs>
                <w:tab w:val="left" w:pos="560"/>
                <w:tab w:val="left" w:pos="1120"/>
                <w:tab w:val="left" w:pos="1680"/>
                <w:tab w:val="left" w:pos="2240"/>
                <w:tab w:val="left" w:pos="2800"/>
                <w:tab w:val="left" w:pos="3360"/>
                <w:tab w:val="left" w:pos="3920"/>
              </w:tabs>
              <w:spacing w:line="360" w:lineRule="auto"/>
              <w:ind w:right="140"/>
              <w:jc w:val="both"/>
            </w:pPr>
            <w:r>
              <w:rPr>
                <w:sz w:val="24"/>
                <w:szCs w:val="24"/>
              </w:rPr>
              <w:t>Set out a preliminary view of the impact of each option on the intended outputs, and identify the possible outcomes of the preferred option.</w:t>
            </w:r>
          </w:p>
        </w:tc>
      </w:tr>
      <w:tr w14:paraId="2D41A191">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980" w:hRule="atLeast"/>
        </w:trPr>
        <w:tc>
          <w:tcPr>
            <w:tcW w:w="1809" w:type="dxa"/>
            <w:tcBorders>
              <w:top w:val="dotted" w:color="919191" w:sz="6" w:space="0"/>
              <w:left w:val="nil"/>
              <w:bottom w:val="nil"/>
              <w:right w:val="single" w:color="919191" w:sz="2" w:space="0"/>
            </w:tcBorders>
            <w:shd w:val="clear" w:color="auto" w:fill="EEEEEE"/>
            <w:tcMar>
              <w:top w:w="15" w:type="dxa"/>
              <w:left w:w="15" w:type="dxa"/>
              <w:bottom w:w="0" w:type="dxa"/>
              <w:right w:w="155" w:type="dxa"/>
            </w:tcMar>
          </w:tcPr>
          <w:p w14:paraId="19A02F03">
            <w:pPr>
              <w:pStyle w:val="26"/>
              <w:tabs>
                <w:tab w:val="left" w:pos="560"/>
                <w:tab w:val="left" w:pos="1120"/>
                <w:tab w:val="left" w:pos="1680"/>
              </w:tabs>
              <w:spacing w:line="360" w:lineRule="auto"/>
              <w:ind w:right="140"/>
              <w:jc w:val="both"/>
            </w:pPr>
            <w:r>
              <w:rPr>
                <w:sz w:val="24"/>
                <w:szCs w:val="24"/>
              </w:rPr>
              <w:t>Due diligence</w:t>
            </w:r>
          </w:p>
        </w:tc>
        <w:tc>
          <w:tcPr>
            <w:tcW w:w="3581" w:type="dxa"/>
            <w:tcBorders>
              <w:top w:val="dotted" w:color="919191" w:sz="6" w:space="0"/>
              <w:left w:val="single" w:color="919191" w:sz="2" w:space="0"/>
              <w:bottom w:val="nil"/>
              <w:right w:val="single" w:color="919191" w:sz="2" w:space="0"/>
            </w:tcBorders>
            <w:shd w:val="clear" w:color="auto" w:fill="EEEEEE"/>
            <w:tcMar>
              <w:top w:w="15" w:type="dxa"/>
              <w:left w:w="15" w:type="dxa"/>
              <w:bottom w:w="0" w:type="dxa"/>
              <w:right w:w="155" w:type="dxa"/>
            </w:tcMar>
          </w:tcPr>
          <w:p w14:paraId="31385883">
            <w:pPr>
              <w:pStyle w:val="26"/>
              <w:tabs>
                <w:tab w:val="left" w:pos="560"/>
                <w:tab w:val="left" w:pos="1120"/>
                <w:tab w:val="left" w:pos="1680"/>
                <w:tab w:val="left" w:pos="2240"/>
                <w:tab w:val="left" w:pos="2800"/>
                <w:tab w:val="left" w:pos="3360"/>
              </w:tabs>
              <w:spacing w:line="360" w:lineRule="auto"/>
              <w:ind w:right="140"/>
              <w:jc w:val="both"/>
            </w:pPr>
            <w:r>
              <w:rPr>
                <w:sz w:val="24"/>
                <w:szCs w:val="24"/>
              </w:rPr>
              <w:t>To undertake a due diligence assessing all budgetary, institutional, legal, regulatory, site, and other socio-economic factors that constrain and/or enable the project</w:t>
            </w:r>
          </w:p>
        </w:tc>
        <w:tc>
          <w:tcPr>
            <w:tcW w:w="3969" w:type="dxa"/>
            <w:tcBorders>
              <w:top w:val="dotted" w:color="919191" w:sz="6" w:space="0"/>
              <w:left w:val="single" w:color="919191" w:sz="2" w:space="0"/>
              <w:bottom w:val="nil"/>
              <w:right w:val="nil"/>
            </w:tcBorders>
            <w:shd w:val="clear" w:color="auto" w:fill="EEEEEE"/>
            <w:tcMar>
              <w:top w:w="15" w:type="dxa"/>
              <w:left w:w="15" w:type="dxa"/>
              <w:bottom w:w="0" w:type="dxa"/>
              <w:right w:w="155" w:type="dxa"/>
            </w:tcMar>
          </w:tcPr>
          <w:p w14:paraId="59A86BEF">
            <w:pPr>
              <w:pStyle w:val="26"/>
              <w:tabs>
                <w:tab w:val="left" w:pos="560"/>
                <w:tab w:val="left" w:pos="1120"/>
                <w:tab w:val="left" w:pos="1680"/>
                <w:tab w:val="left" w:pos="2240"/>
                <w:tab w:val="left" w:pos="2800"/>
                <w:tab w:val="left" w:pos="3360"/>
                <w:tab w:val="left" w:pos="3920"/>
              </w:tabs>
              <w:spacing w:line="360" w:lineRule="auto"/>
              <w:ind w:right="140"/>
              <w:jc w:val="both"/>
            </w:pPr>
            <w:r>
              <w:rPr>
                <w:sz w:val="24"/>
                <w:szCs w:val="24"/>
              </w:rPr>
              <w:t>Identify project-specific sectoral conditions: strength, local socio-economic factors that could be addressed in the project location, and any constraining factors to the achievement of the intended outputs.</w:t>
            </w:r>
          </w:p>
        </w:tc>
      </w:tr>
    </w:tbl>
    <w:p w14:paraId="49E0072D">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r>
        <w:rPr>
          <w:rFonts w:ascii="Helvetica Neue" w:hAnsi="Helvetica Neue"/>
          <w:i/>
          <w:iCs/>
          <w:sz w:val="24"/>
          <w:szCs w:val="24"/>
          <w:lang w:val="en-US"/>
        </w:rPr>
        <w:t>If the preferred option can be procured through a PPP, the institution must then establish affordability, value for money and risk transfer.</w:t>
      </w:r>
      <w:r>
        <w:rPr>
          <w:rFonts w:ascii="Times New Roman" w:hAnsi="Times New Roman"/>
          <w:i/>
          <w:iCs/>
          <w:sz w:val="24"/>
          <w:szCs w:val="24"/>
        </w:rPr>
        <w:t xml:space="preserve"> </w:t>
      </w:r>
    </w:p>
    <w:tbl>
      <w:tblPr>
        <w:tblStyle w:val="6"/>
        <w:tblW w:w="9500" w:type="dxa"/>
        <w:tblInd w:w="108" w:type="dxa"/>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Layout w:type="fixed"/>
        <w:tblCellMar>
          <w:top w:w="0" w:type="dxa"/>
          <w:left w:w="108" w:type="dxa"/>
          <w:bottom w:w="0" w:type="dxa"/>
          <w:right w:w="108" w:type="dxa"/>
        </w:tblCellMar>
      </w:tblPr>
      <w:tblGrid>
        <w:gridCol w:w="1837"/>
        <w:gridCol w:w="3635"/>
        <w:gridCol w:w="4028"/>
      </w:tblGrid>
      <w:tr w14:paraId="571A9E8A">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087" w:hRule="atLeast"/>
        </w:trPr>
        <w:tc>
          <w:tcPr>
            <w:tcW w:w="1836" w:type="dxa"/>
            <w:tcBorders>
              <w:top w:val="nil"/>
              <w:left w:val="nil"/>
              <w:bottom w:val="dotted" w:color="919191" w:sz="6" w:space="0"/>
              <w:right w:val="single" w:color="919191" w:sz="2" w:space="0"/>
            </w:tcBorders>
            <w:tcMar>
              <w:top w:w="15" w:type="dxa"/>
              <w:left w:w="15" w:type="dxa"/>
              <w:bottom w:w="0" w:type="dxa"/>
              <w:right w:w="155" w:type="dxa"/>
            </w:tcMar>
          </w:tcPr>
          <w:p w14:paraId="32801879">
            <w:pPr>
              <w:pStyle w:val="26"/>
              <w:tabs>
                <w:tab w:val="left" w:pos="560"/>
                <w:tab w:val="left" w:pos="1120"/>
                <w:tab w:val="left" w:pos="1680"/>
              </w:tabs>
              <w:spacing w:line="360" w:lineRule="auto"/>
              <w:ind w:right="140"/>
              <w:jc w:val="both"/>
            </w:pPr>
            <w:r>
              <w:rPr>
                <w:sz w:val="24"/>
                <w:szCs w:val="24"/>
              </w:rPr>
              <w:t>Risk identification</w:t>
            </w:r>
          </w:p>
        </w:tc>
        <w:tc>
          <w:tcPr>
            <w:tcW w:w="3635" w:type="dxa"/>
            <w:tcBorders>
              <w:top w:val="nil"/>
              <w:left w:val="single" w:color="919191" w:sz="2" w:space="0"/>
              <w:bottom w:val="dotted" w:color="919191" w:sz="6" w:space="0"/>
              <w:right w:val="single" w:color="919191" w:sz="2" w:space="0"/>
            </w:tcBorders>
            <w:tcMar>
              <w:top w:w="15" w:type="dxa"/>
              <w:left w:w="15" w:type="dxa"/>
              <w:bottom w:w="0" w:type="dxa"/>
              <w:right w:w="155" w:type="dxa"/>
            </w:tcMar>
          </w:tcPr>
          <w:p w14:paraId="7737AC9A">
            <w:pPr>
              <w:pStyle w:val="26"/>
              <w:tabs>
                <w:tab w:val="left" w:pos="560"/>
                <w:tab w:val="left" w:pos="1120"/>
                <w:tab w:val="left" w:pos="1680"/>
                <w:tab w:val="left" w:pos="2240"/>
                <w:tab w:val="left" w:pos="2800"/>
                <w:tab w:val="left" w:pos="3360"/>
              </w:tabs>
              <w:spacing w:line="360" w:lineRule="auto"/>
              <w:ind w:right="140"/>
              <w:jc w:val="both"/>
            </w:pPr>
            <w:r>
              <w:rPr>
                <w:sz w:val="24"/>
                <w:szCs w:val="24"/>
              </w:rPr>
              <w:t>To identify all possible risks in the construction and operation of the project, the probability of each arising, the value of each risk, and strategies and costs of mitigation</w:t>
            </w:r>
          </w:p>
        </w:tc>
        <w:tc>
          <w:tcPr>
            <w:tcW w:w="4028" w:type="dxa"/>
            <w:tcBorders>
              <w:top w:val="nil"/>
              <w:left w:val="single" w:color="919191" w:sz="2" w:space="0"/>
              <w:bottom w:val="dotted" w:color="919191" w:sz="6" w:space="0"/>
              <w:right w:val="nil"/>
            </w:tcBorders>
            <w:tcMar>
              <w:top w:w="15" w:type="dxa"/>
              <w:left w:w="15" w:type="dxa"/>
              <w:bottom w:w="0" w:type="dxa"/>
              <w:right w:w="155" w:type="dxa"/>
            </w:tcMar>
          </w:tcPr>
          <w:p w14:paraId="2DE57733">
            <w:pPr>
              <w:pStyle w:val="26"/>
              <w:tabs>
                <w:tab w:val="left" w:pos="560"/>
                <w:tab w:val="left" w:pos="1120"/>
                <w:tab w:val="left" w:pos="1680"/>
                <w:tab w:val="left" w:pos="2240"/>
                <w:tab w:val="left" w:pos="2800"/>
                <w:tab w:val="left" w:pos="3360"/>
                <w:tab w:val="left" w:pos="3920"/>
              </w:tabs>
              <w:spacing w:line="360" w:lineRule="auto"/>
              <w:ind w:right="140"/>
              <w:jc w:val="both"/>
            </w:pPr>
            <w:r>
              <w:rPr>
                <w:sz w:val="24"/>
                <w:szCs w:val="24"/>
              </w:rPr>
              <w:t>Identify all possible risks in the project, probabilities of each such risk arising, values for each, and the strategies for, and costs of mitigation.</w:t>
            </w:r>
          </w:p>
        </w:tc>
      </w:tr>
      <w:tr w14:paraId="638D4856">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541" w:hRule="atLeast"/>
        </w:trPr>
        <w:tc>
          <w:tcPr>
            <w:tcW w:w="1836" w:type="dxa"/>
            <w:tcBorders>
              <w:top w:val="dotted" w:color="919191" w:sz="6" w:space="0"/>
              <w:left w:val="nil"/>
              <w:bottom w:val="dotted" w:color="919191" w:sz="6" w:space="0"/>
              <w:right w:val="single" w:color="919191" w:sz="2" w:space="0"/>
            </w:tcBorders>
            <w:shd w:val="clear" w:color="auto" w:fill="EEEEEE"/>
            <w:tcMar>
              <w:top w:w="15" w:type="dxa"/>
              <w:left w:w="15" w:type="dxa"/>
              <w:bottom w:w="0" w:type="dxa"/>
              <w:right w:w="155" w:type="dxa"/>
            </w:tcMar>
          </w:tcPr>
          <w:p w14:paraId="33410B1F">
            <w:pPr>
              <w:pStyle w:val="26"/>
              <w:tabs>
                <w:tab w:val="left" w:pos="560"/>
                <w:tab w:val="left" w:pos="1120"/>
                <w:tab w:val="left" w:pos="1680"/>
              </w:tabs>
              <w:spacing w:line="360" w:lineRule="auto"/>
              <w:ind w:right="140"/>
              <w:jc w:val="both"/>
            </w:pPr>
            <w:r>
              <w:rPr>
                <w:sz w:val="24"/>
                <w:szCs w:val="24"/>
              </w:rPr>
              <w:t>PPP reference model</w:t>
            </w:r>
          </w:p>
        </w:tc>
        <w:tc>
          <w:tcPr>
            <w:tcW w:w="3635" w:type="dxa"/>
            <w:tcBorders>
              <w:top w:val="dotted" w:color="919191" w:sz="6" w:space="0"/>
              <w:left w:val="single" w:color="919191" w:sz="2" w:space="0"/>
              <w:bottom w:val="dotted" w:color="919191" w:sz="6" w:space="0"/>
              <w:right w:val="single" w:color="919191" w:sz="2" w:space="0"/>
            </w:tcBorders>
            <w:shd w:val="clear" w:color="auto" w:fill="EEEEEE"/>
            <w:tcMar>
              <w:top w:w="15" w:type="dxa"/>
              <w:left w:w="15" w:type="dxa"/>
              <w:bottom w:w="0" w:type="dxa"/>
              <w:right w:w="155" w:type="dxa"/>
            </w:tcMar>
          </w:tcPr>
          <w:p w14:paraId="615468D2">
            <w:pPr>
              <w:pStyle w:val="26"/>
              <w:tabs>
                <w:tab w:val="left" w:pos="560"/>
                <w:tab w:val="left" w:pos="1120"/>
                <w:tab w:val="left" w:pos="1680"/>
                <w:tab w:val="left" w:pos="2240"/>
                <w:tab w:val="left" w:pos="2800"/>
                <w:tab w:val="left" w:pos="3360"/>
              </w:tabs>
              <w:spacing w:line="360" w:lineRule="auto"/>
              <w:ind w:right="140"/>
              <w:jc w:val="both"/>
            </w:pPr>
            <w:r>
              <w:rPr>
                <w:sz w:val="24"/>
                <w:szCs w:val="24"/>
              </w:rPr>
              <w:t>Life-cycle cost model of the same output specifications where the private sector takes substantial financing, construction and operating risk</w:t>
            </w:r>
          </w:p>
        </w:tc>
        <w:tc>
          <w:tcPr>
            <w:tcW w:w="4028" w:type="dxa"/>
            <w:tcBorders>
              <w:top w:val="dotted" w:color="919191" w:sz="6" w:space="0"/>
              <w:left w:val="single" w:color="919191" w:sz="2" w:space="0"/>
              <w:bottom w:val="dotted" w:color="919191" w:sz="6" w:space="0"/>
              <w:right w:val="nil"/>
            </w:tcBorders>
            <w:shd w:val="clear" w:color="auto" w:fill="EEEEEE"/>
            <w:tcMar>
              <w:top w:w="15" w:type="dxa"/>
              <w:left w:w="15" w:type="dxa"/>
              <w:bottom w:w="0" w:type="dxa"/>
              <w:right w:w="155" w:type="dxa"/>
            </w:tcMar>
          </w:tcPr>
          <w:p w14:paraId="7E4621D8">
            <w:pPr>
              <w:pStyle w:val="26"/>
              <w:tabs>
                <w:tab w:val="left" w:pos="560"/>
                <w:tab w:val="left" w:pos="1120"/>
                <w:tab w:val="left" w:pos="1680"/>
                <w:tab w:val="left" w:pos="2240"/>
                <w:tab w:val="left" w:pos="2800"/>
                <w:tab w:val="left" w:pos="3360"/>
                <w:tab w:val="left" w:pos="3920"/>
              </w:tabs>
              <w:spacing w:line="360" w:lineRule="auto"/>
              <w:ind w:right="140"/>
              <w:jc w:val="both"/>
            </w:pPr>
            <w:r>
              <w:rPr>
                <w:sz w:val="24"/>
                <w:szCs w:val="24"/>
              </w:rPr>
              <w:t>Cost the achievement of the project’s identified outputs by calculating how the private sector would cost each of the elements of a proposed PPP balanced scorecard for the project in the PPP reference model.</w:t>
            </w:r>
          </w:p>
        </w:tc>
      </w:tr>
      <w:tr w14:paraId="07519D33">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648" w:hRule="atLeast"/>
        </w:trPr>
        <w:tc>
          <w:tcPr>
            <w:tcW w:w="1836" w:type="dxa"/>
            <w:tcBorders>
              <w:top w:val="dotted" w:color="919191" w:sz="6" w:space="0"/>
              <w:left w:val="nil"/>
              <w:bottom w:val="dotted" w:color="919191" w:sz="6" w:space="0"/>
              <w:right w:val="single" w:color="919191" w:sz="2" w:space="0"/>
            </w:tcBorders>
            <w:tcMar>
              <w:top w:w="15" w:type="dxa"/>
              <w:left w:w="15" w:type="dxa"/>
              <w:bottom w:w="0" w:type="dxa"/>
              <w:right w:w="155" w:type="dxa"/>
            </w:tcMar>
          </w:tcPr>
          <w:p w14:paraId="3E1D0899">
            <w:pPr>
              <w:pStyle w:val="26"/>
              <w:tabs>
                <w:tab w:val="left" w:pos="560"/>
                <w:tab w:val="left" w:pos="1120"/>
                <w:tab w:val="left" w:pos="1680"/>
              </w:tabs>
              <w:spacing w:line="360" w:lineRule="auto"/>
              <w:ind w:right="140"/>
              <w:jc w:val="both"/>
            </w:pPr>
            <w:r>
              <w:rPr>
                <w:sz w:val="24"/>
                <w:szCs w:val="24"/>
              </w:rPr>
              <w:t>Sensitivity analysis</w:t>
            </w:r>
          </w:p>
        </w:tc>
        <w:tc>
          <w:tcPr>
            <w:tcW w:w="3635" w:type="dxa"/>
            <w:tcBorders>
              <w:top w:val="dotted" w:color="919191" w:sz="6" w:space="0"/>
              <w:left w:val="single" w:color="919191" w:sz="2" w:space="0"/>
              <w:bottom w:val="dotted" w:color="919191" w:sz="6" w:space="0"/>
              <w:right w:val="single" w:color="919191" w:sz="2" w:space="0"/>
            </w:tcBorders>
            <w:tcMar>
              <w:top w:w="15" w:type="dxa"/>
              <w:left w:w="15" w:type="dxa"/>
              <w:bottom w:w="0" w:type="dxa"/>
              <w:right w:w="155" w:type="dxa"/>
            </w:tcMar>
          </w:tcPr>
          <w:p w14:paraId="7ADFAAFF">
            <w:pPr>
              <w:pStyle w:val="26"/>
              <w:tabs>
                <w:tab w:val="left" w:pos="560"/>
                <w:tab w:val="left" w:pos="1120"/>
                <w:tab w:val="left" w:pos="1680"/>
                <w:tab w:val="left" w:pos="2240"/>
                <w:tab w:val="left" w:pos="2800"/>
                <w:tab w:val="left" w:pos="3360"/>
              </w:tabs>
              <w:spacing w:line="360" w:lineRule="auto"/>
              <w:ind w:right="140"/>
              <w:jc w:val="both"/>
            </w:pPr>
            <w:r>
              <w:rPr>
                <w:sz w:val="24"/>
                <w:szCs w:val="24"/>
              </w:rPr>
              <w:t>To test the resilience of the models to changes in assumptions and risk over the project term</w:t>
            </w:r>
          </w:p>
        </w:tc>
        <w:tc>
          <w:tcPr>
            <w:tcW w:w="4028" w:type="dxa"/>
            <w:tcBorders>
              <w:top w:val="dotted" w:color="919191" w:sz="6" w:space="0"/>
              <w:left w:val="single" w:color="919191" w:sz="2" w:space="0"/>
              <w:bottom w:val="dotted" w:color="919191" w:sz="6" w:space="0"/>
              <w:right w:val="nil"/>
            </w:tcBorders>
            <w:tcMar>
              <w:top w:w="15" w:type="dxa"/>
              <w:left w:w="15" w:type="dxa"/>
              <w:bottom w:w="0" w:type="dxa"/>
              <w:right w:w="155" w:type="dxa"/>
            </w:tcMar>
          </w:tcPr>
          <w:p w14:paraId="71AFFB89">
            <w:pPr>
              <w:pStyle w:val="26"/>
              <w:tabs>
                <w:tab w:val="left" w:pos="560"/>
                <w:tab w:val="left" w:pos="1120"/>
                <w:tab w:val="left" w:pos="1680"/>
                <w:tab w:val="left" w:pos="2240"/>
                <w:tab w:val="left" w:pos="2800"/>
                <w:tab w:val="left" w:pos="3360"/>
                <w:tab w:val="left" w:pos="3920"/>
              </w:tabs>
              <w:spacing w:line="360" w:lineRule="auto"/>
              <w:ind w:right="140"/>
              <w:jc w:val="both"/>
            </w:pPr>
            <w:r>
              <w:rPr>
                <w:sz w:val="24"/>
                <w:szCs w:val="24"/>
              </w:rPr>
              <w:t>Test varying broad-based economic targets for the project, their costs and their assumptions to assess the impact on affordability and value for money.</w:t>
            </w:r>
          </w:p>
        </w:tc>
      </w:tr>
      <w:tr w14:paraId="4973C840">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541" w:hRule="atLeast"/>
        </w:trPr>
        <w:tc>
          <w:tcPr>
            <w:tcW w:w="1836" w:type="dxa"/>
            <w:tcBorders>
              <w:top w:val="dotted" w:color="919191" w:sz="6" w:space="0"/>
              <w:left w:val="nil"/>
              <w:bottom w:val="dotted" w:color="919191" w:sz="6" w:space="0"/>
              <w:right w:val="single" w:color="919191" w:sz="2" w:space="0"/>
            </w:tcBorders>
            <w:shd w:val="clear" w:color="auto" w:fill="EEEEEE"/>
            <w:tcMar>
              <w:top w:w="15" w:type="dxa"/>
              <w:left w:w="15" w:type="dxa"/>
              <w:bottom w:w="0" w:type="dxa"/>
              <w:right w:w="155" w:type="dxa"/>
            </w:tcMar>
          </w:tcPr>
          <w:p w14:paraId="61086CB1">
            <w:pPr>
              <w:pStyle w:val="26"/>
              <w:tabs>
                <w:tab w:val="left" w:pos="560"/>
                <w:tab w:val="left" w:pos="1120"/>
                <w:tab w:val="left" w:pos="1680"/>
              </w:tabs>
              <w:spacing w:line="360" w:lineRule="auto"/>
              <w:ind w:right="140"/>
              <w:jc w:val="both"/>
            </w:pPr>
            <w:r>
              <w:rPr>
                <w:sz w:val="24"/>
                <w:szCs w:val="24"/>
              </w:rPr>
              <w:t>Value-for-money test and making the procurement choice</w:t>
            </w:r>
          </w:p>
        </w:tc>
        <w:tc>
          <w:tcPr>
            <w:tcW w:w="3635" w:type="dxa"/>
            <w:tcBorders>
              <w:top w:val="dotted" w:color="919191" w:sz="6" w:space="0"/>
              <w:left w:val="single" w:color="919191" w:sz="2" w:space="0"/>
              <w:bottom w:val="dotted" w:color="919191" w:sz="6" w:space="0"/>
              <w:right w:val="single" w:color="919191" w:sz="2" w:space="0"/>
            </w:tcBorders>
            <w:shd w:val="clear" w:color="auto" w:fill="EEEEEE"/>
            <w:tcMar>
              <w:top w:w="15" w:type="dxa"/>
              <w:left w:w="15" w:type="dxa"/>
              <w:bottom w:w="0" w:type="dxa"/>
              <w:right w:w="155" w:type="dxa"/>
            </w:tcMar>
          </w:tcPr>
          <w:p w14:paraId="1B3EA0DD">
            <w:pPr>
              <w:pStyle w:val="26"/>
              <w:tabs>
                <w:tab w:val="left" w:pos="560"/>
                <w:tab w:val="left" w:pos="1120"/>
                <w:tab w:val="left" w:pos="1680"/>
                <w:tab w:val="left" w:pos="2240"/>
                <w:tab w:val="left" w:pos="2800"/>
                <w:tab w:val="left" w:pos="3360"/>
              </w:tabs>
              <w:spacing w:line="360" w:lineRule="auto"/>
              <w:ind w:right="140"/>
              <w:jc w:val="both"/>
            </w:pPr>
            <w:r>
              <w:rPr>
                <w:sz w:val="24"/>
                <w:szCs w:val="24"/>
              </w:rPr>
              <w:t>To reach a justified conclusion analysing the outcomes of the modelling as to which procurement route is both affordable and will achieve optimal value for the Institution</w:t>
            </w:r>
          </w:p>
        </w:tc>
        <w:tc>
          <w:tcPr>
            <w:tcW w:w="4028" w:type="dxa"/>
            <w:tcBorders>
              <w:top w:val="dotted" w:color="919191" w:sz="6" w:space="0"/>
              <w:left w:val="single" w:color="919191" w:sz="2" w:space="0"/>
              <w:bottom w:val="dotted" w:color="919191" w:sz="6" w:space="0"/>
              <w:right w:val="nil"/>
            </w:tcBorders>
            <w:shd w:val="clear" w:color="auto" w:fill="EEEEEE"/>
            <w:tcMar>
              <w:top w:w="15" w:type="dxa"/>
              <w:left w:w="15" w:type="dxa"/>
              <w:bottom w:w="0" w:type="dxa"/>
              <w:right w:w="155" w:type="dxa"/>
            </w:tcMar>
          </w:tcPr>
          <w:p w14:paraId="4CADFA9A">
            <w:pPr>
              <w:pStyle w:val="26"/>
              <w:tabs>
                <w:tab w:val="left" w:pos="560"/>
                <w:tab w:val="left" w:pos="1120"/>
                <w:tab w:val="left" w:pos="1680"/>
                <w:tab w:val="left" w:pos="2240"/>
                <w:tab w:val="left" w:pos="2800"/>
                <w:tab w:val="left" w:pos="3360"/>
                <w:tab w:val="left" w:pos="3920"/>
              </w:tabs>
              <w:spacing w:line="360" w:lineRule="auto"/>
              <w:ind w:right="140"/>
              <w:jc w:val="both"/>
            </w:pPr>
            <w:r>
              <w:rPr>
                <w:sz w:val="24"/>
                <w:szCs w:val="24"/>
              </w:rPr>
              <w:t>Analyse which procurement route will best achieve the identified outputs for the project.</w:t>
            </w:r>
          </w:p>
        </w:tc>
      </w:tr>
      <w:tr w14:paraId="4C9CD17E">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194" w:hRule="atLeast"/>
        </w:trPr>
        <w:tc>
          <w:tcPr>
            <w:tcW w:w="1836" w:type="dxa"/>
            <w:tcBorders>
              <w:top w:val="dotted" w:color="919191" w:sz="6" w:space="0"/>
              <w:left w:val="nil"/>
              <w:bottom w:val="nil"/>
              <w:right w:val="single" w:color="919191" w:sz="2" w:space="0"/>
            </w:tcBorders>
            <w:tcMar>
              <w:top w:w="15" w:type="dxa"/>
              <w:left w:w="15" w:type="dxa"/>
              <w:bottom w:w="0" w:type="dxa"/>
              <w:right w:w="155" w:type="dxa"/>
            </w:tcMar>
          </w:tcPr>
          <w:p w14:paraId="79D62513">
            <w:pPr>
              <w:pStyle w:val="26"/>
              <w:tabs>
                <w:tab w:val="left" w:pos="560"/>
                <w:tab w:val="left" w:pos="1120"/>
                <w:tab w:val="left" w:pos="1680"/>
              </w:tabs>
              <w:spacing w:line="360" w:lineRule="auto"/>
              <w:ind w:right="140"/>
              <w:jc w:val="both"/>
            </w:pPr>
            <w:r>
              <w:rPr>
                <w:sz w:val="24"/>
                <w:szCs w:val="24"/>
              </w:rPr>
              <w:t>Economic analysis</w:t>
            </w:r>
          </w:p>
        </w:tc>
        <w:tc>
          <w:tcPr>
            <w:tcW w:w="3635" w:type="dxa"/>
            <w:tcBorders>
              <w:top w:val="dotted" w:color="919191" w:sz="6" w:space="0"/>
              <w:left w:val="single" w:color="919191" w:sz="2" w:space="0"/>
              <w:bottom w:val="nil"/>
              <w:right w:val="single" w:color="919191" w:sz="2" w:space="0"/>
            </w:tcBorders>
            <w:tcMar>
              <w:top w:w="15" w:type="dxa"/>
              <w:left w:w="15" w:type="dxa"/>
              <w:bottom w:w="0" w:type="dxa"/>
              <w:right w:w="155" w:type="dxa"/>
            </w:tcMar>
          </w:tcPr>
          <w:p w14:paraId="27594456">
            <w:pPr>
              <w:pStyle w:val="26"/>
              <w:tabs>
                <w:tab w:val="left" w:pos="560"/>
                <w:tab w:val="left" w:pos="1120"/>
                <w:tab w:val="left" w:pos="1680"/>
                <w:tab w:val="left" w:pos="2240"/>
                <w:tab w:val="left" w:pos="2800"/>
                <w:tab w:val="left" w:pos="3360"/>
              </w:tabs>
              <w:spacing w:line="360" w:lineRule="auto"/>
              <w:ind w:right="140"/>
              <w:jc w:val="both"/>
            </w:pPr>
            <w:r>
              <w:rPr>
                <w:sz w:val="24"/>
                <w:szCs w:val="24"/>
              </w:rPr>
              <w:t>To establish the economic rationale for the project, where required</w:t>
            </w:r>
          </w:p>
        </w:tc>
        <w:tc>
          <w:tcPr>
            <w:tcW w:w="4028" w:type="dxa"/>
            <w:tcBorders>
              <w:top w:val="dotted" w:color="919191" w:sz="6" w:space="0"/>
              <w:left w:val="single" w:color="919191" w:sz="2" w:space="0"/>
              <w:bottom w:val="nil"/>
              <w:right w:val="nil"/>
            </w:tcBorders>
            <w:tcMar>
              <w:top w:w="15" w:type="dxa"/>
              <w:left w:w="15" w:type="dxa"/>
              <w:bottom w:w="0" w:type="dxa"/>
              <w:right w:w="155" w:type="dxa"/>
            </w:tcMar>
          </w:tcPr>
          <w:p w14:paraId="269F6971">
            <w:pPr>
              <w:pStyle w:val="26"/>
              <w:tabs>
                <w:tab w:val="left" w:pos="560"/>
                <w:tab w:val="left" w:pos="1120"/>
                <w:tab w:val="left" w:pos="1680"/>
                <w:tab w:val="left" w:pos="2240"/>
                <w:tab w:val="left" w:pos="2800"/>
                <w:tab w:val="left" w:pos="3360"/>
                <w:tab w:val="left" w:pos="3920"/>
              </w:tabs>
              <w:spacing w:line="360" w:lineRule="auto"/>
              <w:ind w:right="140"/>
              <w:jc w:val="both"/>
            </w:pPr>
            <w:r>
              <w:rPr>
                <w:sz w:val="24"/>
                <w:szCs w:val="24"/>
              </w:rPr>
              <w:t>Identify the economic benefits and opportunity cost of a ‘no-project’ scenario.</w:t>
            </w:r>
          </w:p>
        </w:tc>
      </w:tr>
    </w:tbl>
    <w:p w14:paraId="371DA684">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0789E455">
      <w:pPr>
        <w:pStyle w:val="24"/>
      </w:pPr>
    </w:p>
    <w:p w14:paraId="50094434">
      <w:pPr>
        <w:pStyle w:val="2"/>
        <w:rPr>
          <w:color w:val="000000"/>
          <w:sz w:val="24"/>
          <w:szCs w:val="24"/>
          <w:lang w:val="en-US"/>
        </w:rPr>
      </w:pPr>
      <w:bookmarkStart w:id="57" w:name="_Toc56"/>
    </w:p>
    <w:p w14:paraId="0E8A68FE">
      <w:pPr>
        <w:pStyle w:val="2"/>
        <w:rPr>
          <w:color w:val="000000"/>
          <w:sz w:val="24"/>
          <w:szCs w:val="24"/>
          <w:lang w:val="en-US"/>
        </w:rPr>
      </w:pPr>
    </w:p>
    <w:p w14:paraId="6EEA938A">
      <w:pPr>
        <w:pStyle w:val="2"/>
        <w:rPr>
          <w:color w:val="000000"/>
          <w:sz w:val="24"/>
          <w:szCs w:val="24"/>
          <w:lang w:val="en-US"/>
        </w:rPr>
      </w:pPr>
    </w:p>
    <w:p w14:paraId="382B08F9">
      <w:pPr>
        <w:pStyle w:val="2"/>
        <w:rPr>
          <w:color w:val="000000"/>
          <w:sz w:val="24"/>
          <w:szCs w:val="24"/>
          <w:lang w:val="en-US"/>
        </w:rPr>
      </w:pPr>
    </w:p>
    <w:p w14:paraId="66040B40">
      <w:pPr>
        <w:pStyle w:val="2"/>
        <w:rPr>
          <w:color w:val="000000"/>
          <w:sz w:val="24"/>
          <w:szCs w:val="24"/>
        </w:rPr>
      </w:pPr>
      <w:r>
        <w:rPr>
          <w:color w:val="000000"/>
          <w:sz w:val="24"/>
          <w:szCs w:val="24"/>
          <w:lang w:val="en-US"/>
        </w:rPr>
        <w:t>8.3. Transparent procurement and competitive bidding</w:t>
      </w:r>
      <w:bookmarkEnd w:id="57"/>
      <w:r>
        <w:rPr>
          <w:color w:val="000000"/>
          <w:sz w:val="24"/>
          <w:szCs w:val="24"/>
          <w:lang w:val="en-US"/>
        </w:rPr>
        <w:t xml:space="preserve"> for PPP Projects</w:t>
      </w:r>
    </w:p>
    <w:p w14:paraId="44308B70">
      <w:pPr>
        <w:pStyle w:val="3"/>
        <w:numPr>
          <w:ilvl w:val="1"/>
          <w:numId w:val="44"/>
        </w:numPr>
        <w:spacing w:line="360" w:lineRule="auto"/>
        <w:jc w:val="both"/>
        <w:rPr>
          <w:sz w:val="24"/>
          <w:szCs w:val="24"/>
          <w:lang w:val="en-US"/>
        </w:rPr>
      </w:pPr>
      <w:r>
        <w:rPr>
          <w:sz w:val="24"/>
          <w:szCs w:val="24"/>
          <w:lang w:val="en-US"/>
        </w:rPr>
        <w:t xml:space="preserve">During the bidding process, sufficient attention shall be placed on the key good procurement principles of </w:t>
      </w:r>
      <w:r>
        <w:rPr>
          <w:sz w:val="24"/>
          <w:szCs w:val="24"/>
          <w:rtl/>
          <w:lang w:val="ar-SA"/>
        </w:rPr>
        <w:t>“</w:t>
      </w:r>
      <w:r>
        <w:rPr>
          <w:sz w:val="24"/>
          <w:szCs w:val="24"/>
          <w:lang w:val="en-US"/>
        </w:rPr>
        <w:t>transparency</w:t>
      </w:r>
      <w:r>
        <w:rPr>
          <w:sz w:val="24"/>
          <w:szCs w:val="24"/>
        </w:rPr>
        <w:t xml:space="preserve">” </w:t>
      </w:r>
      <w:r>
        <w:rPr>
          <w:sz w:val="24"/>
          <w:szCs w:val="24"/>
          <w:lang w:val="en-US"/>
        </w:rPr>
        <w:t xml:space="preserve">and </w:t>
      </w:r>
      <w:r>
        <w:rPr>
          <w:sz w:val="24"/>
          <w:szCs w:val="24"/>
          <w:rtl/>
          <w:lang w:val="ar-SA"/>
        </w:rPr>
        <w:t>“</w:t>
      </w:r>
      <w:r>
        <w:rPr>
          <w:sz w:val="24"/>
          <w:szCs w:val="24"/>
          <w:lang w:val="en-US"/>
        </w:rPr>
        <w:t>equal treatment</w:t>
      </w:r>
      <w:r>
        <w:rPr>
          <w:sz w:val="24"/>
          <w:szCs w:val="24"/>
        </w:rPr>
        <w:t>”</w:t>
      </w:r>
      <w:r>
        <w:rPr>
          <w:sz w:val="24"/>
          <w:szCs w:val="24"/>
          <w:lang w:val="en-US"/>
        </w:rPr>
        <w:t xml:space="preserve">, which will help bolster the legitimacy of the PPP and its acceptance by stakeholders. The procurement proceedings shall follow the procurement proceedings in accordance to ICRCAct2014, Part IV </w:t>
      </w:r>
      <w:r>
        <w:rPr>
          <w:color w:val="000000" w:themeColor="text1"/>
          <w:sz w:val="24"/>
          <w:szCs w:val="24"/>
          <w:lang w:val="en-US"/>
          <w14:textFill>
            <w14:solidFill>
              <w14:schemeClr w14:val="tx1"/>
            </w14:solidFill>
          </w14:textFill>
        </w:rPr>
        <w:t xml:space="preserve">(and Procurement act 2007). </w:t>
      </w:r>
    </w:p>
    <w:p w14:paraId="156224D4">
      <w:pPr>
        <w:pStyle w:val="3"/>
        <w:numPr>
          <w:ilvl w:val="1"/>
          <w:numId w:val="44"/>
        </w:numPr>
        <w:spacing w:line="360" w:lineRule="auto"/>
        <w:jc w:val="both"/>
        <w:rPr>
          <w:sz w:val="24"/>
          <w:szCs w:val="24"/>
          <w:highlight w:val="yellow"/>
          <w:lang w:val="en-US"/>
        </w:rPr>
      </w:pPr>
      <w:r>
        <w:rPr>
          <w:sz w:val="24"/>
          <w:szCs w:val="24"/>
          <w:lang w:val="en-US"/>
        </w:rPr>
        <w:t>The PPP procurement process shall be conducted via a competitive bidding process to ensure transparency in the process and to provide a mechanism for the selection of the best-value proposal</w:t>
      </w:r>
      <w:r>
        <w:rPr>
          <w:sz w:val="24"/>
          <w:szCs w:val="24"/>
          <w:highlight w:val="yellow"/>
          <w:lang w:val="en-US"/>
        </w:rPr>
        <w:t xml:space="preserve"> </w:t>
      </w:r>
    </w:p>
    <w:p w14:paraId="712B8406">
      <w:pPr>
        <w:pStyle w:val="3"/>
        <w:numPr>
          <w:ilvl w:val="1"/>
          <w:numId w:val="44"/>
        </w:numPr>
        <w:spacing w:line="360" w:lineRule="auto"/>
        <w:jc w:val="both"/>
        <w:rPr>
          <w:sz w:val="24"/>
          <w:szCs w:val="24"/>
          <w:lang w:val="en-US"/>
        </w:rPr>
      </w:pPr>
      <w:r>
        <w:rPr>
          <w:sz w:val="24"/>
          <w:szCs w:val="24"/>
          <w:lang w:val="en-US"/>
        </w:rPr>
        <w:t>This will ensure compliance with global best practice to secure support from local and international lending institutions and grant funding organis</w:t>
      </w:r>
      <w:r>
        <w:rPr>
          <w:sz w:val="24"/>
          <w:szCs w:val="24"/>
          <w:lang w:val="fr-FR"/>
        </w:rPr>
        <w:t>ations.</w:t>
      </w:r>
    </w:p>
    <w:p w14:paraId="2D74BE10">
      <w:pPr>
        <w:pStyle w:val="3"/>
        <w:numPr>
          <w:ilvl w:val="1"/>
          <w:numId w:val="44"/>
        </w:numPr>
        <w:spacing w:line="360" w:lineRule="auto"/>
        <w:jc w:val="both"/>
        <w:rPr>
          <w:sz w:val="24"/>
          <w:szCs w:val="24"/>
          <w:lang w:val="en-US"/>
        </w:rPr>
      </w:pPr>
      <w:r>
        <w:rPr>
          <w:sz w:val="24"/>
          <w:szCs w:val="24"/>
          <w:lang w:val="en-US"/>
        </w:rPr>
        <w:t>The maximum benefits of competition will be realised if there is sufficient interest to generate multiple bidders, which normally arises with a public and transparent two-stage procurement process.</w:t>
      </w:r>
    </w:p>
    <w:p w14:paraId="72AC243B">
      <w:pPr>
        <w:pStyle w:val="3"/>
        <w:numPr>
          <w:ilvl w:val="1"/>
          <w:numId w:val="44"/>
        </w:numPr>
        <w:spacing w:line="360" w:lineRule="auto"/>
        <w:jc w:val="both"/>
        <w:rPr>
          <w:sz w:val="24"/>
          <w:szCs w:val="24"/>
          <w:lang w:val="en-US"/>
        </w:rPr>
      </w:pPr>
      <w:r>
        <w:rPr>
          <w:sz w:val="24"/>
          <w:szCs w:val="24"/>
          <w:lang w:val="en-US"/>
        </w:rPr>
        <w:t>The first stage, the pre-qualification process shall be to select bidders that are best qualified to submit fully priced bids. A shortlist of bidders shall then be selected based on a consistent selection criterion with the objective of excluding bidders.</w:t>
      </w:r>
    </w:p>
    <w:p w14:paraId="50F6E305">
      <w:pPr>
        <w:pStyle w:val="3"/>
        <w:numPr>
          <w:ilvl w:val="1"/>
          <w:numId w:val="44"/>
        </w:numPr>
        <w:spacing w:line="360" w:lineRule="auto"/>
        <w:jc w:val="both"/>
        <w:rPr>
          <w:sz w:val="24"/>
          <w:szCs w:val="24"/>
          <w:lang w:val="en-US"/>
        </w:rPr>
      </w:pPr>
      <w:r>
        <w:rPr>
          <w:sz w:val="24"/>
          <w:szCs w:val="24"/>
          <w:lang w:val="en-US"/>
        </w:rPr>
        <w:t xml:space="preserve">The second and final stage progressively shall reduce the number of bidders based on the evaluation of technical and financial bids until the Preferred Bidder is identified. </w:t>
      </w:r>
    </w:p>
    <w:p w14:paraId="2A700CC3">
      <w:pPr>
        <w:pStyle w:val="24"/>
      </w:pPr>
    </w:p>
    <w:p w14:paraId="27A6556E">
      <w:pPr>
        <w:pStyle w:val="2"/>
        <w:spacing w:line="360" w:lineRule="auto"/>
        <w:rPr>
          <w:color w:val="000000"/>
          <w:sz w:val="24"/>
          <w:szCs w:val="24"/>
        </w:rPr>
      </w:pPr>
      <w:bookmarkStart w:id="58" w:name="_Toc57"/>
      <w:r>
        <w:rPr>
          <w:color w:val="000000"/>
          <w:sz w:val="24"/>
          <w:szCs w:val="24"/>
          <w:lang w:val="en-US"/>
        </w:rPr>
        <w:t xml:space="preserve">8.3.1.  University’s Contracting procedure </w:t>
      </w:r>
      <w:bookmarkEnd w:id="58"/>
      <w:r>
        <w:rPr>
          <w:color w:val="000000"/>
          <w:sz w:val="24"/>
          <w:szCs w:val="24"/>
          <w:lang w:val="en-US"/>
        </w:rPr>
        <w:t>for PPP Projects</w:t>
      </w:r>
    </w:p>
    <w:p w14:paraId="33282677">
      <w:pPr>
        <w:pStyle w:val="3"/>
        <w:numPr>
          <w:ilvl w:val="2"/>
          <w:numId w:val="43"/>
        </w:numPr>
        <w:spacing w:line="360" w:lineRule="auto"/>
        <w:jc w:val="both"/>
        <w:rPr>
          <w:sz w:val="24"/>
          <w:szCs w:val="24"/>
        </w:rPr>
      </w:pPr>
      <w:r>
        <w:rPr>
          <w:rFonts w:ascii="Helvetica Neue" w:hAnsi="Helvetica Neue"/>
          <w:b/>
          <w:bCs/>
          <w:sz w:val="24"/>
          <w:szCs w:val="24"/>
        </w:rPr>
        <w:t>Procurement Notice</w:t>
      </w:r>
      <w:r>
        <w:rPr>
          <w:rFonts w:ascii="Helvetica Neue" w:hAnsi="Helvetica Neue"/>
          <w:b/>
          <w:bCs/>
          <w:sz w:val="24"/>
          <w:szCs w:val="24"/>
          <w:lang w:val="en-US"/>
        </w:rPr>
        <w:t>:</w:t>
      </w:r>
      <w:r>
        <w:rPr>
          <w:sz w:val="24"/>
          <w:szCs w:val="24"/>
          <w:lang w:val="en-US"/>
        </w:rPr>
        <w:t xml:space="preserve"> Publication of the public procurement notice shall mark the start of the formal procurement process. The UNN PPP UNIT must comply with all requirements related to the publication of notices in the ICRC Act2014. It is also recommended that UNN PPP UNIT should publish the procurement notice in one or more national newspapers. The UNN PPP UNIT notice shall be followed by a questionnaire to enable interested companies to demonstrate their qualifications (also known as the submission of an </w:t>
      </w:r>
      <w:r>
        <w:rPr>
          <w:sz w:val="24"/>
          <w:szCs w:val="24"/>
          <w:rtl/>
          <w:lang w:val="ar-SA"/>
        </w:rPr>
        <w:t>“</w:t>
      </w:r>
      <w:r>
        <w:rPr>
          <w:sz w:val="24"/>
          <w:szCs w:val="24"/>
          <w:lang w:val="en-US"/>
        </w:rPr>
        <w:t>expression of interest</w:t>
      </w:r>
      <w:r>
        <w:rPr>
          <w:sz w:val="24"/>
          <w:szCs w:val="24"/>
        </w:rPr>
        <w:t>”).</w:t>
      </w:r>
    </w:p>
    <w:p w14:paraId="26588457">
      <w:pPr>
        <w:pStyle w:val="3"/>
        <w:numPr>
          <w:ilvl w:val="2"/>
          <w:numId w:val="43"/>
        </w:numPr>
        <w:spacing w:line="360" w:lineRule="auto"/>
        <w:jc w:val="both"/>
        <w:rPr>
          <w:sz w:val="24"/>
          <w:szCs w:val="24"/>
        </w:rPr>
      </w:pPr>
      <w:r>
        <w:rPr>
          <w:rFonts w:ascii="Helvetica Neue" w:hAnsi="Helvetica Neue"/>
          <w:b/>
          <w:bCs/>
          <w:sz w:val="24"/>
          <w:szCs w:val="24"/>
        </w:rPr>
        <w:t>Pre</w:t>
      </w:r>
      <w:r>
        <w:rPr>
          <w:rFonts w:ascii="Helvetica Neue" w:hAnsi="Helvetica Neue"/>
          <w:b/>
          <w:bCs/>
          <w:sz w:val="24"/>
          <w:szCs w:val="24"/>
          <w:lang w:val="en-US"/>
        </w:rPr>
        <w:t>-qualification Notice:</w:t>
      </w:r>
      <w:r>
        <w:rPr>
          <w:sz w:val="24"/>
          <w:szCs w:val="24"/>
          <w:lang w:val="en-US"/>
        </w:rPr>
        <w:t xml:space="preserve"> Interested parties that respond to an initial procurement notice shall be sent a short statement of information about the project and instructions or a questionnaire.  These shall form the basis of a qualification submission that such parties must make to demonstrate their ability to implement the project. The UNNPPP UNIT legal advisers shall draft both the PPP procurement notice and the pre-</w:t>
      </w:r>
      <w:r>
        <w:rPr>
          <w:sz w:val="24"/>
          <w:szCs w:val="24"/>
          <w:lang w:val="fr-FR"/>
        </w:rPr>
        <w:t>qualification questionnaire.</w:t>
      </w:r>
    </w:p>
    <w:p w14:paraId="2CD9C0AB">
      <w:pPr>
        <w:pStyle w:val="3"/>
        <w:numPr>
          <w:ilvl w:val="2"/>
          <w:numId w:val="43"/>
        </w:numPr>
        <w:spacing w:line="360" w:lineRule="auto"/>
        <w:jc w:val="both"/>
        <w:rPr>
          <w:sz w:val="24"/>
          <w:szCs w:val="24"/>
          <w:lang w:val="de-DE"/>
        </w:rPr>
      </w:pPr>
      <w:r>
        <w:rPr>
          <w:rFonts w:ascii="Helvetica Neue" w:hAnsi="Helvetica Neue"/>
          <w:b/>
          <w:bCs/>
          <w:sz w:val="24"/>
          <w:szCs w:val="24"/>
          <w:lang w:val="de-DE"/>
        </w:rPr>
        <w:t>Shortlisting</w:t>
      </w:r>
      <w:r>
        <w:rPr>
          <w:rFonts w:ascii="Helvetica Neue" w:hAnsi="Helvetica Neue"/>
          <w:b/>
          <w:bCs/>
          <w:sz w:val="24"/>
          <w:szCs w:val="24"/>
          <w:lang w:val="en-US"/>
        </w:rPr>
        <w:t>:</w:t>
      </w:r>
      <w:r>
        <w:rPr>
          <w:sz w:val="24"/>
          <w:szCs w:val="24"/>
          <w:lang w:val="en-US"/>
        </w:rPr>
        <w:t xml:space="preserve"> In evaluating the qualification submission, the UNN PPP UNIT shall focus on the technical capability, business capability, and financial position of the potential bidders. In line with the ICRC 2014Act, these capacities must be, in principle, demonstrated jointly, rather than individually, by the members of a consortium. At the end of the process, a well-substantiated pre-qualification report shall be prepared to provide a good audit trail. </w:t>
      </w:r>
    </w:p>
    <w:p w14:paraId="38C12967">
      <w:pPr>
        <w:pStyle w:val="3"/>
        <w:numPr>
          <w:ilvl w:val="2"/>
          <w:numId w:val="43"/>
        </w:numPr>
        <w:spacing w:line="360" w:lineRule="auto"/>
        <w:jc w:val="both"/>
        <w:rPr>
          <w:sz w:val="24"/>
          <w:szCs w:val="24"/>
          <w:lang w:val="en-US"/>
        </w:rPr>
      </w:pPr>
      <w:r>
        <w:rPr>
          <w:rFonts w:ascii="Helvetica Neue" w:hAnsi="Helvetica Neue"/>
          <w:b/>
          <w:bCs/>
          <w:sz w:val="24"/>
          <w:szCs w:val="24"/>
          <w:lang w:val="en-US"/>
        </w:rPr>
        <w:t>Invitation to Tender/Selection of Preferred Bidder</w:t>
      </w:r>
      <w:r>
        <w:rPr>
          <w:sz w:val="24"/>
          <w:szCs w:val="24"/>
          <w:lang w:val="en-US"/>
        </w:rPr>
        <w:t xml:space="preserve">: </w:t>
      </w:r>
    </w:p>
    <w:p w14:paraId="655E209E">
      <w:pPr>
        <w:pStyle w:val="3"/>
        <w:numPr>
          <w:ilvl w:val="3"/>
          <w:numId w:val="40"/>
        </w:numPr>
        <w:spacing w:line="360" w:lineRule="auto"/>
        <w:jc w:val="both"/>
        <w:rPr>
          <w:sz w:val="24"/>
          <w:szCs w:val="24"/>
          <w:lang w:val="en-US"/>
        </w:rPr>
      </w:pPr>
      <w:r>
        <w:rPr>
          <w:sz w:val="24"/>
          <w:szCs w:val="24"/>
          <w:lang w:val="en-US"/>
        </w:rPr>
        <w:t>The invitation to tender documentation shall contain all the information that bidders will need to bid.    UNN PPP UNIT advisers shall devote sufficient time and effort to develop the documentation in enough detail to ensure comparability of the bids and reduce the need for debate and clarification before the PPP contract is signed.</w:t>
      </w:r>
    </w:p>
    <w:p w14:paraId="6716432F">
      <w:pPr>
        <w:pStyle w:val="3"/>
        <w:numPr>
          <w:ilvl w:val="3"/>
          <w:numId w:val="45"/>
        </w:numPr>
        <w:spacing w:line="360" w:lineRule="auto"/>
        <w:jc w:val="both"/>
        <w:rPr>
          <w:sz w:val="24"/>
          <w:szCs w:val="24"/>
          <w:lang w:val="en-US"/>
        </w:rPr>
      </w:pPr>
      <w:r>
        <w:rPr>
          <w:sz w:val="24"/>
          <w:szCs w:val="24"/>
          <w:lang w:val="en-US"/>
        </w:rPr>
        <w:t>Once the tenders are submitted, they shall be evaluated to arrive at the selection of the preferred bidder. Bids shall be generally assessed first on a number of pass/fail criteria before the single preferred bidder is decided on. For example: even if the evaluation score is not based on a technical evaluation, a determination must  be  made that the technical solution proposed by a bidder is feasible, deliverable and robust, that it is based on reliable technologies, that It meets all minimum technical requirements set and  that the costs and financial structure are consistent with the technical solution; and it is important to look at the proposed project management: the bidding consortium must come across as a cohesive entity rather than just a collection of companies put together for bidding purposes.</w:t>
      </w:r>
    </w:p>
    <w:p w14:paraId="5C1C5098">
      <w:pPr>
        <w:pStyle w:val="3"/>
        <w:numPr>
          <w:ilvl w:val="3"/>
          <w:numId w:val="45"/>
        </w:numPr>
        <w:spacing w:line="360" w:lineRule="auto"/>
        <w:jc w:val="both"/>
        <w:rPr>
          <w:sz w:val="24"/>
          <w:szCs w:val="24"/>
          <w:lang w:val="en-US"/>
        </w:rPr>
      </w:pPr>
      <w:r>
        <w:rPr>
          <w:sz w:val="24"/>
          <w:szCs w:val="24"/>
          <w:lang w:val="en-US"/>
        </w:rPr>
        <w:t>Occasionally, only one bidder may submit a tender despite the UNN PPP UNIT having issued the invitation to tender to several shortlisted candidates. Should that happen, the question of how to proceed shall be considered case by case. If it appears that bidder interest was low because of deficiencies in the tender documents (including the project specifications or the draft PPP contract) and these can realistically be remedied, then the tender procedure shall be repeated with more detailed information.</w:t>
      </w:r>
    </w:p>
    <w:p w14:paraId="454CADFC">
      <w:pPr>
        <w:pStyle w:val="3"/>
        <w:numPr>
          <w:ilvl w:val="3"/>
          <w:numId w:val="45"/>
        </w:numPr>
        <w:spacing w:line="360" w:lineRule="auto"/>
        <w:jc w:val="both"/>
        <w:rPr>
          <w:sz w:val="24"/>
          <w:szCs w:val="24"/>
          <w:lang w:val="en-US"/>
        </w:rPr>
      </w:pPr>
      <w:r>
        <w:rPr>
          <w:sz w:val="24"/>
          <w:szCs w:val="24"/>
          <w:lang w:val="en-US"/>
        </w:rPr>
        <w:t>If it appears that the bid was made in the bidder</w:t>
      </w:r>
      <w:r>
        <w:rPr>
          <w:sz w:val="24"/>
          <w:szCs w:val="24"/>
          <w:rtl/>
        </w:rPr>
        <w:t>’</w:t>
      </w:r>
      <w:r>
        <w:rPr>
          <w:sz w:val="24"/>
          <w:szCs w:val="24"/>
          <w:lang w:val="en-US"/>
        </w:rPr>
        <w:t>s belief that there would be a good level of competition (and this should be supported by the UNN PPP UNITs advisers  carrying out benchmarking of costs and in some cases by insisting on actual market testing of the costs of the major subcontracts), the  procurement shall be continued and the  sole bidder shall be  considered the winner, provided  that the tender was fully compliant and met all pass/fail evaluation criteria under  ICRC Act 2014.</w:t>
      </w:r>
    </w:p>
    <w:p w14:paraId="29BB836D">
      <w:pPr>
        <w:pStyle w:val="24"/>
      </w:pPr>
    </w:p>
    <w:tbl>
      <w:tblPr>
        <w:tblStyle w:val="6"/>
        <w:tblW w:w="7920" w:type="dxa"/>
        <w:tblInd w:w="1548" w:type="dxa"/>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Layout w:type="fixed"/>
        <w:tblCellMar>
          <w:top w:w="0" w:type="dxa"/>
          <w:left w:w="108" w:type="dxa"/>
          <w:bottom w:w="0" w:type="dxa"/>
          <w:right w:w="108" w:type="dxa"/>
        </w:tblCellMar>
      </w:tblPr>
      <w:tblGrid>
        <w:gridCol w:w="7920"/>
      </w:tblGrid>
      <w:tr w14:paraId="37249095">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94" w:hRule="atLeast"/>
        </w:trPr>
        <w:tc>
          <w:tcPr>
            <w:tcW w:w="7920" w:type="dxa"/>
            <w:tcBorders>
              <w:top w:val="nil"/>
              <w:left w:val="nil"/>
              <w:bottom w:val="dotted" w:color="919191" w:sz="6" w:space="0"/>
              <w:right w:val="nil"/>
            </w:tcBorders>
            <w:shd w:val="clear" w:color="auto" w:fill="85B9C8"/>
            <w:tcMar>
              <w:top w:w="15" w:type="dxa"/>
              <w:left w:w="15" w:type="dxa"/>
              <w:bottom w:w="0" w:type="dxa"/>
              <w:right w:w="15" w:type="dxa"/>
            </w:tcMar>
          </w:tcPr>
          <w:p w14:paraId="19ADAF23">
            <w:pPr>
              <w:pStyle w:val="3"/>
              <w:spacing w:line="360" w:lineRule="auto"/>
              <w:jc w:val="both"/>
              <w:rPr>
                <w:lang w:val="en-GB"/>
              </w:rPr>
            </w:pPr>
            <w:r>
              <w:rPr>
                <w:sz w:val="24"/>
                <w:szCs w:val="24"/>
              </w:rPr>
              <w:t>UNN PPP UNIT BIDDING PROCESS CHECKLIST</w:t>
            </w:r>
            <w:r>
              <w:rPr>
                <w:sz w:val="24"/>
                <w:szCs w:val="24"/>
                <w:lang w:val="en-GB"/>
              </w:rPr>
              <w:t xml:space="preserve"> </w:t>
            </w:r>
          </w:p>
        </w:tc>
      </w:tr>
      <w:tr w14:paraId="66342CBA">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855" w:hRule="atLeast"/>
        </w:trPr>
        <w:tc>
          <w:tcPr>
            <w:tcW w:w="7920" w:type="dxa"/>
            <w:tcBorders>
              <w:top w:val="dotted" w:color="919191" w:sz="6" w:space="0"/>
              <w:left w:val="nil"/>
              <w:bottom w:val="dotted" w:color="919191" w:sz="6" w:space="0"/>
              <w:right w:val="nil"/>
            </w:tcBorders>
            <w:shd w:val="clear" w:color="auto" w:fill="EEEEEE"/>
            <w:tcMar>
              <w:top w:w="15" w:type="dxa"/>
              <w:left w:w="15" w:type="dxa"/>
              <w:bottom w:w="0" w:type="dxa"/>
              <w:right w:w="15" w:type="dxa"/>
            </w:tcMar>
          </w:tcPr>
          <w:p w14:paraId="10CB66D1">
            <w:pPr>
              <w:pStyle w:val="3"/>
              <w:numPr>
                <w:ilvl w:val="1"/>
                <w:numId w:val="46"/>
              </w:numPr>
              <w:spacing w:line="360" w:lineRule="auto"/>
              <w:jc w:val="both"/>
              <w:rPr>
                <w:sz w:val="24"/>
                <w:szCs w:val="24"/>
                <w:lang w:val="en-US"/>
              </w:rPr>
            </w:pPr>
            <w:r>
              <w:rPr>
                <w:sz w:val="24"/>
                <w:szCs w:val="24"/>
                <w:lang w:val="en-US"/>
              </w:rPr>
              <w:t>Is the institution responsible for funding and backing the private partner during the bidding process credible and clearly identified?</w:t>
            </w:r>
          </w:p>
        </w:tc>
      </w:tr>
      <w:tr w14:paraId="1CDBA2CB">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648" w:hRule="atLeast"/>
        </w:trPr>
        <w:tc>
          <w:tcPr>
            <w:tcW w:w="7920" w:type="dxa"/>
            <w:tcBorders>
              <w:top w:val="dotted" w:color="919191" w:sz="6" w:space="0"/>
              <w:left w:val="nil"/>
              <w:bottom w:val="dotted" w:color="919191" w:sz="6" w:space="0"/>
              <w:right w:val="nil"/>
            </w:tcBorders>
            <w:shd w:val="clear" w:color="auto" w:fill="EFEFEF"/>
            <w:tcMar>
              <w:top w:w="15" w:type="dxa"/>
              <w:left w:w="15" w:type="dxa"/>
              <w:bottom w:w="0" w:type="dxa"/>
              <w:right w:w="15" w:type="dxa"/>
            </w:tcMar>
          </w:tcPr>
          <w:p w14:paraId="7AA4BC60">
            <w:pPr>
              <w:pStyle w:val="3"/>
              <w:numPr>
                <w:ilvl w:val="1"/>
                <w:numId w:val="47"/>
              </w:numPr>
              <w:spacing w:line="360" w:lineRule="auto"/>
              <w:jc w:val="both"/>
              <w:rPr>
                <w:sz w:val="24"/>
                <w:szCs w:val="24"/>
                <w:lang w:val="en-US"/>
              </w:rPr>
            </w:pPr>
            <w:r>
              <w:rPr>
                <w:sz w:val="24"/>
                <w:szCs w:val="24"/>
                <w:lang w:val="en-US"/>
              </w:rPr>
              <w:t>Does the format of the pre-qualification documents enable bidders to present information about themselves and clearly set out the evaluation criteria and processes applicable in pre-qualification in compliance with the openness and transparency required by ICRC Act 2014?</w:t>
            </w:r>
          </w:p>
        </w:tc>
      </w:tr>
      <w:tr w14:paraId="0D65D162">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407" w:hRule="atLeast"/>
        </w:trPr>
        <w:tc>
          <w:tcPr>
            <w:tcW w:w="7920" w:type="dxa"/>
            <w:tcBorders>
              <w:top w:val="dotted" w:color="919191" w:sz="6" w:space="0"/>
              <w:left w:val="nil"/>
              <w:bottom w:val="dotted" w:color="919191" w:sz="6" w:space="0"/>
              <w:right w:val="nil"/>
            </w:tcBorders>
            <w:shd w:val="clear" w:color="auto" w:fill="EEEEEE"/>
            <w:tcMar>
              <w:top w:w="15" w:type="dxa"/>
              <w:left w:w="15" w:type="dxa"/>
              <w:bottom w:w="0" w:type="dxa"/>
              <w:right w:w="15" w:type="dxa"/>
            </w:tcMar>
          </w:tcPr>
          <w:p w14:paraId="3100F939">
            <w:pPr>
              <w:pStyle w:val="3"/>
              <w:numPr>
                <w:ilvl w:val="1"/>
                <w:numId w:val="48"/>
              </w:numPr>
              <w:spacing w:line="360" w:lineRule="auto"/>
              <w:jc w:val="both"/>
              <w:rPr>
                <w:sz w:val="24"/>
                <w:szCs w:val="24"/>
                <w:lang w:val="en-US"/>
              </w:rPr>
            </w:pPr>
            <w:r>
              <w:rPr>
                <w:sz w:val="24"/>
                <w:szCs w:val="24"/>
                <w:lang w:val="en-US"/>
              </w:rPr>
              <w:t>Do the pre-qualification evaluation criteria include all relevant features related to the quality and strength of the bidders in terms of their capacity to deliver and their awareness of the PPP project?</w:t>
            </w:r>
          </w:p>
        </w:tc>
      </w:tr>
      <w:tr w14:paraId="23E1A1B7">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648" w:hRule="atLeast"/>
        </w:trPr>
        <w:tc>
          <w:tcPr>
            <w:tcW w:w="7920" w:type="dxa"/>
            <w:tcBorders>
              <w:top w:val="dotted" w:color="919191" w:sz="6" w:space="0"/>
              <w:left w:val="nil"/>
              <w:bottom w:val="dotted" w:color="919191" w:sz="6" w:space="0"/>
              <w:right w:val="nil"/>
            </w:tcBorders>
            <w:shd w:val="clear" w:color="auto" w:fill="EFEFEF"/>
            <w:tcMar>
              <w:top w:w="15" w:type="dxa"/>
              <w:left w:w="15" w:type="dxa"/>
              <w:bottom w:w="0" w:type="dxa"/>
              <w:right w:w="15" w:type="dxa"/>
            </w:tcMar>
          </w:tcPr>
          <w:p w14:paraId="161E4FA1">
            <w:pPr>
              <w:pStyle w:val="3"/>
              <w:numPr>
                <w:ilvl w:val="1"/>
                <w:numId w:val="49"/>
              </w:numPr>
              <w:spacing w:line="360" w:lineRule="auto"/>
              <w:jc w:val="both"/>
              <w:rPr>
                <w:sz w:val="24"/>
                <w:szCs w:val="24"/>
                <w:lang w:val="en-US"/>
              </w:rPr>
            </w:pPr>
            <w:r>
              <w:rPr>
                <w:sz w:val="24"/>
                <w:szCs w:val="24"/>
                <w:lang w:val="en-US"/>
              </w:rPr>
              <w:t>Does the invitation to tender document include a draft PPP contract, which should set out, among other things, the payment mechanism and penalty regime? Does it include the output requirements of the UNN PPP UNIT?</w:t>
            </w:r>
          </w:p>
        </w:tc>
      </w:tr>
      <w:tr w14:paraId="50068AC6">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805" w:hRule="atLeast"/>
        </w:trPr>
        <w:tc>
          <w:tcPr>
            <w:tcW w:w="7920" w:type="dxa"/>
            <w:tcBorders>
              <w:top w:val="dotted" w:color="919191" w:sz="6" w:space="0"/>
              <w:left w:val="nil"/>
              <w:bottom w:val="dotted" w:color="919191" w:sz="6" w:space="0"/>
              <w:right w:val="nil"/>
            </w:tcBorders>
            <w:shd w:val="clear" w:color="auto" w:fill="EEEEEE"/>
            <w:tcMar>
              <w:top w:w="15" w:type="dxa"/>
              <w:left w:w="15" w:type="dxa"/>
              <w:bottom w:w="0" w:type="dxa"/>
              <w:right w:w="15" w:type="dxa"/>
            </w:tcMar>
          </w:tcPr>
          <w:p w14:paraId="2205B53C">
            <w:pPr>
              <w:pStyle w:val="3"/>
              <w:numPr>
                <w:ilvl w:val="1"/>
                <w:numId w:val="50"/>
              </w:numPr>
              <w:spacing w:line="360" w:lineRule="auto"/>
              <w:jc w:val="both"/>
              <w:rPr>
                <w:sz w:val="24"/>
                <w:szCs w:val="24"/>
                <w:lang w:val="en-US"/>
              </w:rPr>
            </w:pPr>
            <w:r>
              <w:rPr>
                <w:sz w:val="24"/>
                <w:szCs w:val="24"/>
                <w:lang w:val="en-US"/>
              </w:rPr>
              <w:t>Does the invitation to tender document contain all essential components of the PPP project, especially the minimum technical, environmental, legal and financial requirements to be provided by bidders which constitute a compliant bid?</w:t>
            </w:r>
          </w:p>
        </w:tc>
      </w:tr>
      <w:tr w14:paraId="696D3614">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380" w:hRule="atLeast"/>
        </w:trPr>
        <w:tc>
          <w:tcPr>
            <w:tcW w:w="7920" w:type="dxa"/>
            <w:tcBorders>
              <w:top w:val="dotted" w:color="919191" w:sz="6" w:space="0"/>
              <w:left w:val="nil"/>
              <w:bottom w:val="dotted" w:color="919191" w:sz="6" w:space="0"/>
              <w:right w:val="nil"/>
            </w:tcBorders>
            <w:shd w:val="clear" w:color="auto" w:fill="EFEFEF"/>
            <w:tcMar>
              <w:top w:w="15" w:type="dxa"/>
              <w:left w:w="15" w:type="dxa"/>
              <w:bottom w:w="0" w:type="dxa"/>
              <w:right w:w="15" w:type="dxa"/>
            </w:tcMar>
          </w:tcPr>
          <w:p w14:paraId="2606AED0">
            <w:pPr>
              <w:pStyle w:val="3"/>
              <w:numPr>
                <w:ilvl w:val="1"/>
                <w:numId w:val="51"/>
              </w:numPr>
              <w:spacing w:line="360" w:lineRule="auto"/>
              <w:jc w:val="both"/>
              <w:rPr>
                <w:sz w:val="24"/>
                <w:szCs w:val="24"/>
                <w:lang w:val="en-US"/>
              </w:rPr>
            </w:pPr>
            <w:r>
              <w:rPr>
                <w:sz w:val="24"/>
                <w:szCs w:val="24"/>
                <w:lang w:val="en-US"/>
              </w:rPr>
              <w:t>Have adequate provisions ensuring that the UNN PPP UNIT offers no information warranties and setting rules of access to the data room been included in the invitation to tender document?</w:t>
            </w:r>
          </w:p>
        </w:tc>
      </w:tr>
      <w:tr w14:paraId="00C4DD83">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247" w:hRule="atLeast"/>
        </w:trPr>
        <w:tc>
          <w:tcPr>
            <w:tcW w:w="7920" w:type="dxa"/>
            <w:tcBorders>
              <w:top w:val="dotted" w:color="919191" w:sz="6" w:space="0"/>
              <w:left w:val="nil"/>
              <w:bottom w:val="dotted" w:color="919191" w:sz="6" w:space="0"/>
              <w:right w:val="nil"/>
            </w:tcBorders>
            <w:shd w:val="clear" w:color="auto" w:fill="EEEEEE"/>
            <w:tcMar>
              <w:top w:w="15" w:type="dxa"/>
              <w:left w:w="15" w:type="dxa"/>
              <w:bottom w:w="0" w:type="dxa"/>
              <w:right w:w="15" w:type="dxa"/>
            </w:tcMar>
          </w:tcPr>
          <w:p w14:paraId="1DC09946">
            <w:pPr>
              <w:pStyle w:val="3"/>
              <w:numPr>
                <w:ilvl w:val="1"/>
                <w:numId w:val="52"/>
              </w:numPr>
              <w:spacing w:line="360" w:lineRule="auto"/>
              <w:jc w:val="both"/>
              <w:rPr>
                <w:sz w:val="24"/>
                <w:szCs w:val="24"/>
                <w:lang w:val="en-US"/>
              </w:rPr>
            </w:pPr>
            <w:r>
              <w:rPr>
                <w:sz w:val="24"/>
                <w:szCs w:val="24"/>
                <w:lang w:val="en-US"/>
              </w:rPr>
              <w:t>Have all critical processes required to manage the interaction with bidders during the bidding process (including a code of conduct, communication with bidders, audit trails and meetings, consortia changes and bidders</w:t>
            </w:r>
            <w:r>
              <w:rPr>
                <w:sz w:val="24"/>
                <w:szCs w:val="24"/>
                <w:rtl/>
              </w:rPr>
              <w:t xml:space="preserve">’ </w:t>
            </w:r>
            <w:r>
              <w:rPr>
                <w:sz w:val="24"/>
                <w:szCs w:val="24"/>
                <w:lang w:val="en-US"/>
              </w:rPr>
              <w:t>due diligence) been considered and implemented?</w:t>
            </w:r>
          </w:p>
        </w:tc>
      </w:tr>
      <w:tr w14:paraId="172C8398">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194" w:hRule="atLeast"/>
        </w:trPr>
        <w:tc>
          <w:tcPr>
            <w:tcW w:w="7920" w:type="dxa"/>
            <w:tcBorders>
              <w:top w:val="dotted" w:color="919191" w:sz="6" w:space="0"/>
              <w:left w:val="nil"/>
              <w:bottom w:val="nil"/>
              <w:right w:val="nil"/>
            </w:tcBorders>
            <w:shd w:val="clear" w:color="auto" w:fill="EFEFEF"/>
            <w:tcMar>
              <w:top w:w="15" w:type="dxa"/>
              <w:left w:w="15" w:type="dxa"/>
              <w:bottom w:w="0" w:type="dxa"/>
              <w:right w:w="15" w:type="dxa"/>
            </w:tcMar>
          </w:tcPr>
          <w:p w14:paraId="1B729E38">
            <w:pPr>
              <w:pStyle w:val="3"/>
              <w:numPr>
                <w:ilvl w:val="1"/>
                <w:numId w:val="53"/>
              </w:numPr>
              <w:spacing w:line="360" w:lineRule="auto"/>
              <w:jc w:val="both"/>
              <w:rPr>
                <w:sz w:val="24"/>
                <w:szCs w:val="24"/>
                <w:lang w:val="en-US"/>
              </w:rPr>
            </w:pPr>
            <w:r>
              <w:rPr>
                <w:sz w:val="24"/>
                <w:szCs w:val="24"/>
                <w:lang w:val="en-US"/>
              </w:rPr>
              <w:t>Have the evaluation criteria and processes been established and evaluation teams and committees been appointed before bids are submitted?</w:t>
            </w:r>
          </w:p>
        </w:tc>
      </w:tr>
    </w:tbl>
    <w:p w14:paraId="21C11482">
      <w:pPr>
        <w:pStyle w:val="25"/>
        <w:tabs>
          <w:tab w:val="left" w:pos="144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left="2304" w:right="140" w:hanging="360"/>
        <w:jc w:val="both"/>
        <w:rPr>
          <w:rFonts w:ascii="Times New Roman" w:hAnsi="Times New Roman" w:eastAsia="Times New Roman" w:cs="Times New Roman"/>
          <w:sz w:val="24"/>
          <w:szCs w:val="24"/>
        </w:rPr>
      </w:pPr>
    </w:p>
    <w:p w14:paraId="073C767D">
      <w:pPr>
        <w:pStyle w:val="24"/>
      </w:pPr>
    </w:p>
    <w:p w14:paraId="359A5E88">
      <w:pPr>
        <w:pStyle w:val="4"/>
        <w:numPr>
          <w:ilvl w:val="2"/>
          <w:numId w:val="54"/>
        </w:numPr>
        <w:jc w:val="both"/>
        <w:rPr>
          <w:rFonts w:ascii="Helvetica Neue Light" w:hAnsi="Helvetica Neue Light" w:eastAsia="Helvetica Neue Light" w:cs="Helvetica Neue Light"/>
          <w:sz w:val="24"/>
          <w:szCs w:val="24"/>
        </w:rPr>
      </w:pPr>
      <w:bookmarkStart w:id="59" w:name="_Toc58"/>
      <w:r>
        <w:rPr>
          <w:b/>
          <w:bCs/>
          <w:sz w:val="24"/>
          <w:szCs w:val="24"/>
          <w:lang w:val="en-US"/>
        </w:rPr>
        <w:t>Invitation to Tender/Selection of Preferred Bidder</w:t>
      </w:r>
      <w:r>
        <w:rPr>
          <w:rFonts w:ascii="Helvetica Neue Light" w:hAnsi="Helvetica Neue Light"/>
          <w:sz w:val="24"/>
          <w:szCs w:val="24"/>
          <w:lang w:val="en-US"/>
        </w:rPr>
        <w:t xml:space="preserve">: </w:t>
      </w:r>
      <w:bookmarkEnd w:id="59"/>
    </w:p>
    <w:p w14:paraId="7E2963AD">
      <w:pPr>
        <w:pStyle w:val="3"/>
        <w:spacing w:line="360" w:lineRule="auto"/>
        <w:ind w:left="720"/>
        <w:jc w:val="both"/>
        <w:rPr>
          <w:sz w:val="24"/>
          <w:szCs w:val="24"/>
        </w:rPr>
      </w:pPr>
      <w:r>
        <w:rPr>
          <w:sz w:val="24"/>
          <w:szCs w:val="24"/>
          <w:lang w:val="en-US"/>
        </w:rPr>
        <w:t xml:space="preserve">At the start of this phase, the UNN PPP UNIT negotiating team and the preferred bidder shall need to agree on a framework for final discussions/negotiations. This framework shall include: </w:t>
      </w:r>
    </w:p>
    <w:p w14:paraId="14E1EB65">
      <w:pPr>
        <w:pStyle w:val="3"/>
        <w:numPr>
          <w:ilvl w:val="4"/>
          <w:numId w:val="44"/>
        </w:numPr>
        <w:spacing w:line="360" w:lineRule="auto"/>
        <w:rPr>
          <w:sz w:val="24"/>
          <w:szCs w:val="24"/>
          <w:lang w:val="en-US"/>
        </w:rPr>
      </w:pPr>
      <w:r>
        <w:rPr>
          <w:sz w:val="24"/>
          <w:szCs w:val="24"/>
          <w:lang w:val="en-US"/>
        </w:rPr>
        <w:t>The discussion timetable;</w:t>
      </w:r>
    </w:p>
    <w:p w14:paraId="3A104BCC">
      <w:pPr>
        <w:pStyle w:val="3"/>
        <w:numPr>
          <w:ilvl w:val="4"/>
          <w:numId w:val="44"/>
        </w:numPr>
        <w:spacing w:line="360" w:lineRule="auto"/>
        <w:rPr>
          <w:sz w:val="24"/>
          <w:szCs w:val="24"/>
          <w:lang w:val="en-US"/>
        </w:rPr>
      </w:pPr>
      <w:r>
        <w:rPr>
          <w:sz w:val="24"/>
          <w:szCs w:val="24"/>
          <w:lang w:val="en-US"/>
        </w:rPr>
        <w:t>The definition of their main issues or point of contention; and</w:t>
      </w:r>
    </w:p>
    <w:p w14:paraId="1E389D3D">
      <w:pPr>
        <w:pStyle w:val="3"/>
        <w:numPr>
          <w:ilvl w:val="4"/>
          <w:numId w:val="44"/>
        </w:numPr>
        <w:spacing w:line="360" w:lineRule="auto"/>
        <w:rPr>
          <w:sz w:val="24"/>
          <w:szCs w:val="24"/>
          <w:lang w:val="en-US"/>
        </w:rPr>
      </w:pPr>
      <w:r>
        <w:rPr>
          <w:sz w:val="24"/>
          <w:szCs w:val="24"/>
          <w:lang w:val="en-US"/>
        </w:rPr>
        <w:t>The recording of agreed matters.</w:t>
      </w:r>
    </w:p>
    <w:p w14:paraId="5C7F7AAD">
      <w:pPr>
        <w:pStyle w:val="4"/>
        <w:numPr>
          <w:ilvl w:val="2"/>
          <w:numId w:val="54"/>
        </w:numPr>
        <w:jc w:val="both"/>
        <w:rPr>
          <w:rFonts w:ascii="Helvetica Neue Light" w:hAnsi="Helvetica Neue Light" w:eastAsia="Helvetica Neue Light" w:cs="Helvetica Neue Light"/>
          <w:sz w:val="24"/>
          <w:szCs w:val="24"/>
        </w:rPr>
      </w:pPr>
      <w:bookmarkStart w:id="60" w:name="_Toc59"/>
      <w:r>
        <w:rPr>
          <w:b/>
          <w:bCs/>
          <w:sz w:val="24"/>
          <w:szCs w:val="24"/>
          <w:lang w:val="en-US"/>
        </w:rPr>
        <w:t>Invitation to Tender/Selection of Preferred Bidder</w:t>
      </w:r>
      <w:r>
        <w:rPr>
          <w:rFonts w:ascii="Helvetica Neue Light" w:hAnsi="Helvetica Neue Light"/>
          <w:sz w:val="24"/>
          <w:szCs w:val="24"/>
          <w:lang w:val="en-US"/>
        </w:rPr>
        <w:t xml:space="preserve">: </w:t>
      </w:r>
      <w:bookmarkEnd w:id="60"/>
    </w:p>
    <w:p w14:paraId="2192153E">
      <w:pPr>
        <w:pStyle w:val="3"/>
        <w:spacing w:line="360" w:lineRule="auto"/>
        <w:ind w:left="720"/>
        <w:jc w:val="both"/>
        <w:rPr>
          <w:sz w:val="24"/>
          <w:szCs w:val="24"/>
          <w:lang w:val="en-US"/>
        </w:rPr>
      </w:pPr>
      <w:r>
        <w:rPr>
          <w:sz w:val="24"/>
          <w:szCs w:val="24"/>
          <w:lang w:val="en-US"/>
        </w:rPr>
        <w:t>The UNN PPP UNIT shall require bidders to secure fully committed financing packages along with their bids. This will ensure that the finalisation of the financing agreements can take place simultaneously with or shortly after the signing of the PPP contract.  The  financing agreements to be prepared and concluded shall comprise:</w:t>
      </w:r>
    </w:p>
    <w:p w14:paraId="7C45AF8E">
      <w:pPr>
        <w:pStyle w:val="3"/>
        <w:spacing w:line="360" w:lineRule="auto"/>
        <w:ind w:left="720"/>
        <w:jc w:val="both"/>
        <w:rPr>
          <w:color w:val="000000" w:themeColor="text1"/>
          <w:sz w:val="24"/>
          <w:szCs w:val="24"/>
          <w:lang w:val="en-US"/>
          <w14:textFill>
            <w14:solidFill>
              <w14:schemeClr w14:val="tx1"/>
            </w14:solidFill>
          </w14:textFill>
        </w:rPr>
      </w:pPr>
      <w:r>
        <w:rPr>
          <w:color w:val="000000" w:themeColor="text1"/>
          <w:sz w:val="24"/>
          <w:szCs w:val="24"/>
          <w:lang w:val="en-US"/>
          <w14:textFill>
            <w14:solidFill>
              <w14:schemeClr w14:val="tx1"/>
            </w14:solidFill>
          </w14:textFill>
        </w:rPr>
        <w:t>The underlisted agreement could be summed up in the following four agreements:</w:t>
      </w:r>
    </w:p>
    <w:p w14:paraId="186CD818">
      <w:pPr>
        <w:pStyle w:val="3"/>
        <w:numPr>
          <w:ilvl w:val="3"/>
          <w:numId w:val="55"/>
        </w:numPr>
        <w:spacing w:line="360" w:lineRule="auto"/>
        <w:jc w:val="both"/>
        <w:rPr>
          <w:color w:val="000000" w:themeColor="text1"/>
          <w:sz w:val="24"/>
          <w:szCs w:val="24"/>
          <w14:textFill>
            <w14:solidFill>
              <w14:schemeClr w14:val="tx1"/>
            </w14:solidFill>
          </w14:textFill>
        </w:rPr>
      </w:pPr>
      <w:r>
        <w:rPr>
          <w:color w:val="000000" w:themeColor="text1"/>
          <w:sz w:val="24"/>
          <w:szCs w:val="24"/>
          <w:lang w:val="en-US"/>
          <w14:textFill>
            <w14:solidFill>
              <w14:schemeClr w14:val="tx1"/>
            </w14:solidFill>
          </w14:textFill>
        </w:rPr>
        <w:t>Concession Agreement.</w:t>
      </w:r>
    </w:p>
    <w:p w14:paraId="22AACDCA">
      <w:pPr>
        <w:pStyle w:val="3"/>
        <w:numPr>
          <w:ilvl w:val="3"/>
          <w:numId w:val="55"/>
        </w:numPr>
        <w:spacing w:line="360" w:lineRule="auto"/>
        <w:jc w:val="both"/>
        <w:rPr>
          <w:color w:val="000000" w:themeColor="text1"/>
          <w:sz w:val="24"/>
          <w:szCs w:val="24"/>
          <w14:textFill>
            <w14:solidFill>
              <w14:schemeClr w14:val="tx1"/>
            </w14:solidFill>
          </w14:textFill>
        </w:rPr>
      </w:pPr>
      <w:r>
        <w:rPr>
          <w:color w:val="000000" w:themeColor="text1"/>
          <w:sz w:val="24"/>
          <w:szCs w:val="24"/>
          <w:lang w:val="en-US"/>
          <w14:textFill>
            <w14:solidFill>
              <w14:schemeClr w14:val="tx1"/>
            </w14:solidFill>
          </w14:textFill>
        </w:rPr>
        <w:t>Shareholders Agreement</w:t>
      </w:r>
    </w:p>
    <w:p w14:paraId="0DA57349">
      <w:pPr>
        <w:pStyle w:val="3"/>
        <w:numPr>
          <w:ilvl w:val="3"/>
          <w:numId w:val="55"/>
        </w:numPr>
        <w:spacing w:line="360" w:lineRule="auto"/>
        <w:jc w:val="both"/>
        <w:rPr>
          <w:color w:val="000000" w:themeColor="text1"/>
          <w:sz w:val="24"/>
          <w:szCs w:val="24"/>
          <w14:textFill>
            <w14:solidFill>
              <w14:schemeClr w14:val="tx1"/>
            </w14:solidFill>
          </w14:textFill>
        </w:rPr>
      </w:pPr>
      <w:r>
        <w:rPr>
          <w:color w:val="000000" w:themeColor="text1"/>
          <w:sz w:val="24"/>
          <w:szCs w:val="24"/>
          <w:lang w:val="en-US"/>
          <w14:textFill>
            <w14:solidFill>
              <w14:schemeClr w14:val="tx1"/>
            </w14:solidFill>
          </w14:textFill>
        </w:rPr>
        <w:t>Escrow Account Agreement</w:t>
      </w:r>
    </w:p>
    <w:p w14:paraId="1F447424">
      <w:pPr>
        <w:pStyle w:val="3"/>
        <w:numPr>
          <w:ilvl w:val="3"/>
          <w:numId w:val="55"/>
        </w:numPr>
        <w:spacing w:line="360" w:lineRule="auto"/>
        <w:jc w:val="both"/>
        <w:rPr>
          <w:color w:val="000000" w:themeColor="text1"/>
          <w:sz w:val="24"/>
          <w:szCs w:val="24"/>
          <w14:textFill>
            <w14:solidFill>
              <w14:schemeClr w14:val="tx1"/>
            </w14:solidFill>
          </w14:textFill>
        </w:rPr>
      </w:pPr>
      <w:r>
        <w:rPr>
          <w:color w:val="000000" w:themeColor="text1"/>
          <w:sz w:val="24"/>
          <w:szCs w:val="24"/>
          <w:lang w:val="en-US"/>
          <w14:textFill>
            <w14:solidFill>
              <w14:schemeClr w14:val="tx1"/>
            </w14:solidFill>
          </w14:textFill>
        </w:rPr>
        <w:t xml:space="preserve">Dead of Lease </w:t>
      </w:r>
    </w:p>
    <w:p w14:paraId="20283A88">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425A48C0">
      <w:pPr>
        <w:pStyle w:val="4"/>
        <w:numPr>
          <w:ilvl w:val="2"/>
          <w:numId w:val="54"/>
        </w:numPr>
        <w:jc w:val="both"/>
        <w:rPr>
          <w:rFonts w:ascii="Helvetica Neue Light" w:hAnsi="Helvetica Neue Light" w:eastAsia="Helvetica Neue Light" w:cs="Helvetica Neue Light"/>
          <w:sz w:val="24"/>
          <w:szCs w:val="24"/>
        </w:rPr>
      </w:pPr>
      <w:bookmarkStart w:id="61" w:name="_Toc60"/>
      <w:r>
        <w:rPr>
          <w:b/>
          <w:bCs/>
          <w:sz w:val="24"/>
          <w:szCs w:val="24"/>
          <w:lang w:val="en-US"/>
        </w:rPr>
        <w:t>Reach Financial Closure</w:t>
      </w:r>
      <w:r>
        <w:rPr>
          <w:rFonts w:ascii="Helvetica Neue Light" w:hAnsi="Helvetica Neue Light"/>
          <w:sz w:val="24"/>
          <w:szCs w:val="24"/>
          <w:lang w:val="en-US"/>
        </w:rPr>
        <w:t xml:space="preserve">: </w:t>
      </w:r>
      <w:bookmarkEnd w:id="61"/>
    </w:p>
    <w:p w14:paraId="1CA5C352">
      <w:pPr>
        <w:pStyle w:val="3"/>
        <w:spacing w:line="360" w:lineRule="auto"/>
        <w:ind w:left="720"/>
        <w:jc w:val="both"/>
        <w:rPr>
          <w:sz w:val="24"/>
          <w:szCs w:val="24"/>
        </w:rPr>
      </w:pPr>
      <w:r>
        <w:rPr>
          <w:sz w:val="24"/>
          <w:szCs w:val="24"/>
          <w:lang w:val="en-US"/>
        </w:rPr>
        <w:t xml:space="preserve">Financial close shall be known to occur when all the project and financing agreements have been signed and all the required conditions contained in them have been met.  This enables funds (e.g., loans, equity, grants) to start flowing so that project implementation can actually start. Any remaining </w:t>
      </w:r>
      <w:r>
        <w:rPr>
          <w:rFonts w:cs="Times New Roman"/>
          <w:sz w:val="24"/>
          <w:szCs w:val="24"/>
          <w:rtl/>
          <w:lang w:val="ar-SA"/>
        </w:rPr>
        <w:t>“</w:t>
      </w:r>
      <w:r>
        <w:rPr>
          <w:sz w:val="24"/>
          <w:szCs w:val="24"/>
          <w:lang w:val="en-US"/>
        </w:rPr>
        <w:t>conditions precedent</w:t>
      </w:r>
      <w:r>
        <w:rPr>
          <w:sz w:val="24"/>
          <w:szCs w:val="24"/>
        </w:rPr>
        <w:t xml:space="preserve">” </w:t>
      </w:r>
      <w:r>
        <w:rPr>
          <w:sz w:val="24"/>
          <w:szCs w:val="24"/>
          <w:lang w:val="en-US"/>
        </w:rPr>
        <w:t>contained in the financing agreements need to be fulfilled before funds can be disbursed. Typically:</w:t>
      </w:r>
    </w:p>
    <w:p w14:paraId="1E42E4E7">
      <w:pPr>
        <w:pStyle w:val="3"/>
        <w:numPr>
          <w:ilvl w:val="3"/>
          <w:numId w:val="56"/>
        </w:numPr>
        <w:spacing w:line="360" w:lineRule="auto"/>
        <w:rPr>
          <w:sz w:val="24"/>
          <w:szCs w:val="24"/>
          <w:lang w:val="en-US"/>
        </w:rPr>
      </w:pPr>
      <w:r>
        <w:rPr>
          <w:sz w:val="24"/>
          <w:szCs w:val="24"/>
          <w:lang w:val="en-US"/>
        </w:rPr>
        <w:t>The main permitting and planning approval shave been secured;</w:t>
      </w:r>
    </w:p>
    <w:p w14:paraId="075429AB">
      <w:pPr>
        <w:pStyle w:val="3"/>
        <w:numPr>
          <w:ilvl w:val="3"/>
          <w:numId w:val="57"/>
        </w:numPr>
        <w:spacing w:line="360" w:lineRule="auto"/>
        <w:rPr>
          <w:sz w:val="24"/>
          <w:szCs w:val="24"/>
          <w:lang w:val="en-US"/>
        </w:rPr>
      </w:pPr>
      <w:r>
        <w:rPr>
          <w:sz w:val="24"/>
          <w:szCs w:val="24"/>
          <w:lang w:val="en-US"/>
        </w:rPr>
        <w:t>The key land acquisition steps have been achieved;</w:t>
      </w:r>
    </w:p>
    <w:p w14:paraId="42CF3DFE">
      <w:pPr>
        <w:pStyle w:val="3"/>
        <w:numPr>
          <w:ilvl w:val="3"/>
          <w:numId w:val="57"/>
        </w:numPr>
        <w:spacing w:line="360" w:lineRule="auto"/>
        <w:rPr>
          <w:sz w:val="24"/>
          <w:szCs w:val="24"/>
          <w:lang w:val="en-US"/>
        </w:rPr>
      </w:pPr>
      <w:r>
        <w:rPr>
          <w:sz w:val="24"/>
          <w:szCs w:val="24"/>
          <w:lang w:val="en-US"/>
        </w:rPr>
        <w:t>The outstanding technical design issues have been clarified.</w:t>
      </w:r>
    </w:p>
    <w:p w14:paraId="238A0DF2">
      <w:pPr>
        <w:pStyle w:val="3"/>
        <w:numPr>
          <w:ilvl w:val="3"/>
          <w:numId w:val="57"/>
        </w:numPr>
        <w:spacing w:line="360" w:lineRule="auto"/>
        <w:rPr>
          <w:sz w:val="24"/>
          <w:szCs w:val="24"/>
          <w:lang w:val="en-US"/>
        </w:rPr>
      </w:pPr>
      <w:r>
        <w:rPr>
          <w:sz w:val="24"/>
          <w:szCs w:val="24"/>
          <w:lang w:val="en-US"/>
        </w:rPr>
        <w:t>Any remaining key project and financing document has been finalised and signed.</w:t>
      </w:r>
    </w:p>
    <w:p w14:paraId="0245BA22">
      <w:pPr>
        <w:pStyle w:val="3"/>
        <w:numPr>
          <w:ilvl w:val="3"/>
          <w:numId w:val="57"/>
        </w:numPr>
        <w:spacing w:line="360" w:lineRule="auto"/>
        <w:rPr>
          <w:sz w:val="24"/>
          <w:szCs w:val="24"/>
          <w:lang w:val="en-US"/>
        </w:rPr>
      </w:pPr>
      <w:r>
        <w:rPr>
          <w:sz w:val="24"/>
          <w:szCs w:val="24"/>
          <w:lang w:val="en-US"/>
        </w:rPr>
        <w:t>All funding approvals are in place; and</w:t>
      </w:r>
    </w:p>
    <w:p w14:paraId="48026D30">
      <w:pPr>
        <w:pStyle w:val="3"/>
        <w:numPr>
          <w:ilvl w:val="3"/>
          <w:numId w:val="57"/>
        </w:numPr>
        <w:spacing w:line="360" w:lineRule="auto"/>
        <w:rPr>
          <w:sz w:val="24"/>
          <w:szCs w:val="24"/>
          <w:lang w:val="en-US"/>
        </w:rPr>
      </w:pPr>
      <w:r>
        <w:rPr>
          <w:sz w:val="24"/>
          <w:szCs w:val="24"/>
          <w:lang w:val="en-US"/>
        </w:rPr>
        <w:t>Proper registration of the security for the loans has been confirmed.</w:t>
      </w:r>
    </w:p>
    <w:p w14:paraId="2023A52E">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12849EEB">
      <w:pPr>
        <w:pStyle w:val="4"/>
        <w:numPr>
          <w:ilvl w:val="2"/>
          <w:numId w:val="54"/>
        </w:numPr>
        <w:jc w:val="both"/>
        <w:rPr>
          <w:rFonts w:ascii="Helvetica Neue Light" w:hAnsi="Helvetica Neue Light" w:eastAsia="Helvetica Neue Light" w:cs="Helvetica Neue Light"/>
          <w:sz w:val="24"/>
          <w:szCs w:val="24"/>
        </w:rPr>
      </w:pPr>
      <w:bookmarkStart w:id="62" w:name="_Toc61"/>
      <w:r>
        <w:rPr>
          <w:b/>
          <w:bCs/>
          <w:sz w:val="24"/>
          <w:szCs w:val="24"/>
          <w:lang w:val="en-US"/>
        </w:rPr>
        <w:t>Confirm Internal Approvals</w:t>
      </w:r>
      <w:r>
        <w:rPr>
          <w:rFonts w:ascii="Helvetica Neue Light" w:hAnsi="Helvetica Neue Light"/>
          <w:sz w:val="24"/>
          <w:szCs w:val="24"/>
          <w:lang w:val="en-US"/>
        </w:rPr>
        <w:t xml:space="preserve">: </w:t>
      </w:r>
      <w:bookmarkEnd w:id="62"/>
    </w:p>
    <w:p w14:paraId="04D1629C">
      <w:pPr>
        <w:pStyle w:val="3"/>
        <w:spacing w:line="360" w:lineRule="auto"/>
        <w:ind w:left="720"/>
        <w:jc w:val="both"/>
        <w:rPr>
          <w:sz w:val="24"/>
          <w:szCs w:val="24"/>
        </w:rPr>
      </w:pPr>
      <w:r>
        <w:rPr>
          <w:sz w:val="24"/>
          <w:szCs w:val="24"/>
          <w:lang w:val="en-US"/>
        </w:rPr>
        <w:t>The UNN PPP UNIT shall confirm that the requirements of all internal approvals have been met. These shall include:</w:t>
      </w:r>
    </w:p>
    <w:p w14:paraId="6FC0A7DA">
      <w:pPr>
        <w:pStyle w:val="3"/>
        <w:numPr>
          <w:ilvl w:val="3"/>
          <w:numId w:val="58"/>
        </w:numPr>
        <w:spacing w:line="360" w:lineRule="auto"/>
        <w:rPr>
          <w:sz w:val="24"/>
          <w:szCs w:val="24"/>
          <w:lang w:val="en-US"/>
        </w:rPr>
      </w:pPr>
      <w:r>
        <w:rPr>
          <w:sz w:val="24"/>
          <w:szCs w:val="24"/>
          <w:lang w:val="en-US"/>
        </w:rPr>
        <w:t>Confirmation of the legality of the procurement;</w:t>
      </w:r>
    </w:p>
    <w:p w14:paraId="4CF44457">
      <w:pPr>
        <w:pStyle w:val="3"/>
        <w:numPr>
          <w:ilvl w:val="3"/>
          <w:numId w:val="57"/>
        </w:numPr>
        <w:spacing w:line="360" w:lineRule="auto"/>
        <w:rPr>
          <w:sz w:val="24"/>
          <w:szCs w:val="24"/>
          <w:lang w:val="en-US"/>
        </w:rPr>
      </w:pPr>
      <w:r>
        <w:rPr>
          <w:sz w:val="24"/>
          <w:szCs w:val="24"/>
          <w:lang w:val="en-US"/>
        </w:rPr>
        <w:t>Approval of derogations from any standard contracting terms;</w:t>
      </w:r>
    </w:p>
    <w:p w14:paraId="51EE97E5">
      <w:pPr>
        <w:pStyle w:val="3"/>
        <w:numPr>
          <w:ilvl w:val="3"/>
          <w:numId w:val="57"/>
        </w:numPr>
        <w:spacing w:line="360" w:lineRule="auto"/>
        <w:rPr>
          <w:sz w:val="24"/>
          <w:szCs w:val="24"/>
          <w:lang w:val="en-US"/>
        </w:rPr>
      </w:pPr>
      <w:r>
        <w:rPr>
          <w:sz w:val="24"/>
          <w:szCs w:val="24"/>
          <w:lang w:val="en-US"/>
        </w:rPr>
        <w:t>The value-for-money check; and</w:t>
      </w:r>
    </w:p>
    <w:p w14:paraId="4946014F">
      <w:pPr>
        <w:pStyle w:val="3"/>
        <w:numPr>
          <w:ilvl w:val="3"/>
          <w:numId w:val="57"/>
        </w:numPr>
        <w:spacing w:line="360" w:lineRule="auto"/>
        <w:rPr>
          <w:sz w:val="24"/>
          <w:szCs w:val="24"/>
          <w:lang w:val="en-US"/>
        </w:rPr>
      </w:pPr>
      <w:r>
        <w:rPr>
          <w:sz w:val="24"/>
          <w:szCs w:val="24"/>
          <w:lang w:val="en-US"/>
        </w:rPr>
        <w:t>The affordability checks.</w:t>
      </w:r>
    </w:p>
    <w:p w14:paraId="14E7220C">
      <w:pPr>
        <w:pStyle w:val="4"/>
        <w:numPr>
          <w:ilvl w:val="2"/>
          <w:numId w:val="54"/>
        </w:numPr>
        <w:jc w:val="both"/>
        <w:rPr>
          <w:rFonts w:ascii="Helvetica Neue Light" w:hAnsi="Helvetica Neue Light" w:eastAsia="Helvetica Neue Light" w:cs="Helvetica Neue Light"/>
          <w:sz w:val="24"/>
          <w:szCs w:val="24"/>
        </w:rPr>
      </w:pPr>
      <w:bookmarkStart w:id="63" w:name="_Toc62"/>
      <w:r>
        <w:rPr>
          <w:b/>
          <w:bCs/>
          <w:sz w:val="24"/>
          <w:szCs w:val="24"/>
          <w:lang w:val="en-US"/>
        </w:rPr>
        <w:t>Financial Close Checklist</w:t>
      </w:r>
      <w:r>
        <w:rPr>
          <w:rFonts w:ascii="Helvetica Neue Light" w:hAnsi="Helvetica Neue Light"/>
          <w:sz w:val="24"/>
          <w:szCs w:val="24"/>
          <w:lang w:val="en-US"/>
        </w:rPr>
        <w:t xml:space="preserve">: </w:t>
      </w:r>
      <w:bookmarkEnd w:id="63"/>
    </w:p>
    <w:p w14:paraId="0211DCFC">
      <w:pPr>
        <w:pStyle w:val="3"/>
        <w:spacing w:line="360" w:lineRule="auto"/>
        <w:ind w:left="720"/>
        <w:jc w:val="both"/>
        <w:rPr>
          <w:sz w:val="24"/>
          <w:szCs w:val="24"/>
        </w:rPr>
      </w:pPr>
      <w:r>
        <w:rPr>
          <w:sz w:val="24"/>
          <w:szCs w:val="24"/>
          <w:lang w:val="en-US"/>
        </w:rPr>
        <w:t>The UNN PPP UNIT shall carry out a considerable amount of detailed work to reach financial close.  The effort needed shall not be under estimated. The UNN PPP UNIT shall manage its tasks effectively and shall seek the support of its advisers.</w:t>
      </w:r>
    </w:p>
    <w:p w14:paraId="025772FD">
      <w:pPr>
        <w:pStyle w:val="24"/>
      </w:pPr>
    </w:p>
    <w:tbl>
      <w:tblPr>
        <w:tblStyle w:val="6"/>
        <w:tblW w:w="8362" w:type="dxa"/>
        <w:tblInd w:w="1548" w:type="dxa"/>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Layout w:type="fixed"/>
        <w:tblCellMar>
          <w:top w:w="0" w:type="dxa"/>
          <w:left w:w="108" w:type="dxa"/>
          <w:bottom w:w="0" w:type="dxa"/>
          <w:right w:w="108" w:type="dxa"/>
        </w:tblCellMar>
      </w:tblPr>
      <w:tblGrid>
        <w:gridCol w:w="8362"/>
      </w:tblGrid>
      <w:tr w14:paraId="709CEC4B">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97" w:hRule="atLeast"/>
        </w:trPr>
        <w:tc>
          <w:tcPr>
            <w:tcW w:w="8362" w:type="dxa"/>
            <w:tcBorders>
              <w:top w:val="nil"/>
              <w:left w:val="nil"/>
              <w:bottom w:val="dotted" w:color="919191" w:sz="6" w:space="0"/>
              <w:right w:val="nil"/>
            </w:tcBorders>
            <w:shd w:val="clear" w:color="auto" w:fill="85B9C8"/>
            <w:tcMar>
              <w:top w:w="54" w:type="dxa"/>
              <w:left w:w="54" w:type="dxa"/>
              <w:bottom w:w="54" w:type="dxa"/>
              <w:right w:w="54" w:type="dxa"/>
            </w:tcMar>
          </w:tcPr>
          <w:p w14:paraId="6FE2F34E">
            <w:pPr>
              <w:pStyle w:val="2"/>
              <w:spacing w:line="360" w:lineRule="auto"/>
            </w:pPr>
            <w:r>
              <w:rPr>
                <w:color w:val="000000"/>
              </w:rPr>
              <w:t>PPP CONTRACT AND FINANCIAL CLOSE CHECKLIST</w:t>
            </w:r>
          </w:p>
        </w:tc>
      </w:tr>
      <w:tr w14:paraId="61A5ADFA">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188" w:hRule="atLeast"/>
        </w:trPr>
        <w:tc>
          <w:tcPr>
            <w:tcW w:w="8362" w:type="dxa"/>
            <w:tcBorders>
              <w:top w:val="dotted" w:color="919191" w:sz="6" w:space="0"/>
              <w:left w:val="nil"/>
              <w:bottom w:val="dotted" w:color="919191" w:sz="6" w:space="0"/>
              <w:right w:val="nil"/>
            </w:tcBorders>
            <w:shd w:val="clear" w:color="auto" w:fill="EEEEEE"/>
            <w:tcMar>
              <w:top w:w="54" w:type="dxa"/>
              <w:left w:w="54" w:type="dxa"/>
              <w:bottom w:w="54" w:type="dxa"/>
              <w:right w:w="54" w:type="dxa"/>
            </w:tcMar>
          </w:tcPr>
          <w:p w14:paraId="4F21E046">
            <w:pPr>
              <w:pStyle w:val="3"/>
              <w:numPr>
                <w:ilvl w:val="1"/>
                <w:numId w:val="59"/>
              </w:numPr>
              <w:spacing w:line="360" w:lineRule="auto"/>
              <w:rPr>
                <w:sz w:val="24"/>
                <w:szCs w:val="24"/>
                <w:lang w:val="en-US"/>
              </w:rPr>
            </w:pPr>
            <w:r>
              <w:rPr>
                <w:sz w:val="24"/>
                <w:szCs w:val="24"/>
                <w:lang w:val="en-US"/>
              </w:rPr>
              <w:t>To negotiate the PPP contract and reach financial close, the Authority and its team of advisers need to ensure that key questions related to the PPP contract, financing and ancillary agreements have been adequately addressed. For example:</w:t>
            </w:r>
          </w:p>
        </w:tc>
      </w:tr>
      <w:tr w14:paraId="049F189D">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746" w:hRule="atLeast"/>
        </w:trPr>
        <w:tc>
          <w:tcPr>
            <w:tcW w:w="8362" w:type="dxa"/>
            <w:tcBorders>
              <w:top w:val="dotted" w:color="919191" w:sz="6" w:space="0"/>
              <w:left w:val="nil"/>
              <w:bottom w:val="dotted" w:color="919191" w:sz="6" w:space="0"/>
              <w:right w:val="nil"/>
            </w:tcBorders>
            <w:shd w:val="clear" w:color="auto" w:fill="EFEFEF"/>
            <w:tcMar>
              <w:top w:w="54" w:type="dxa"/>
              <w:left w:w="54" w:type="dxa"/>
              <w:bottom w:w="54" w:type="dxa"/>
              <w:right w:w="54" w:type="dxa"/>
            </w:tcMar>
          </w:tcPr>
          <w:p w14:paraId="2C1033C7">
            <w:pPr>
              <w:pStyle w:val="3"/>
              <w:numPr>
                <w:ilvl w:val="1"/>
                <w:numId w:val="60"/>
              </w:numPr>
              <w:spacing w:line="360" w:lineRule="auto"/>
              <w:rPr>
                <w:sz w:val="24"/>
                <w:szCs w:val="24"/>
                <w:lang w:val="en-US"/>
              </w:rPr>
            </w:pPr>
            <w:r>
              <w:rPr>
                <w:sz w:val="24"/>
                <w:szCs w:val="24"/>
                <w:lang w:val="en-US"/>
              </w:rPr>
              <w:t>Has a negotiating team been assembled and empowered to take decisions on the issues pertaining to the PPP contract?</w:t>
            </w:r>
          </w:p>
        </w:tc>
      </w:tr>
      <w:tr w14:paraId="52935F46">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188" w:hRule="atLeast"/>
        </w:trPr>
        <w:tc>
          <w:tcPr>
            <w:tcW w:w="8362" w:type="dxa"/>
            <w:tcBorders>
              <w:top w:val="dotted" w:color="919191" w:sz="6" w:space="0"/>
              <w:left w:val="nil"/>
              <w:bottom w:val="dotted" w:color="919191" w:sz="6" w:space="0"/>
              <w:right w:val="nil"/>
            </w:tcBorders>
            <w:shd w:val="clear" w:color="auto" w:fill="EEEEEE"/>
            <w:tcMar>
              <w:top w:w="54" w:type="dxa"/>
              <w:left w:w="54" w:type="dxa"/>
              <w:bottom w:w="54" w:type="dxa"/>
              <w:right w:w="54" w:type="dxa"/>
            </w:tcMar>
          </w:tcPr>
          <w:p w14:paraId="667FDECE">
            <w:pPr>
              <w:pStyle w:val="3"/>
              <w:numPr>
                <w:ilvl w:val="1"/>
                <w:numId w:val="61"/>
              </w:numPr>
              <w:spacing w:line="360" w:lineRule="auto"/>
              <w:rPr>
                <w:sz w:val="24"/>
                <w:szCs w:val="24"/>
                <w:lang w:val="en-US"/>
              </w:rPr>
            </w:pPr>
            <w:r>
              <w:rPr>
                <w:sz w:val="24"/>
                <w:szCs w:val="24"/>
                <w:lang w:val="en-US"/>
              </w:rPr>
              <w:t>Have the Authority and the negotiating team agreed a negotiating strategy, including (i) an assessment of the position of the Authority on key issues and (ii) a risk management strategy</w:t>
            </w:r>
          </w:p>
        </w:tc>
      </w:tr>
      <w:tr w14:paraId="6EB5EAD4">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746" w:hRule="atLeast"/>
        </w:trPr>
        <w:tc>
          <w:tcPr>
            <w:tcW w:w="8362" w:type="dxa"/>
            <w:tcBorders>
              <w:top w:val="dotted" w:color="919191" w:sz="6" w:space="0"/>
              <w:left w:val="nil"/>
              <w:bottom w:val="dotted" w:color="919191" w:sz="6" w:space="0"/>
              <w:right w:val="nil"/>
            </w:tcBorders>
            <w:shd w:val="clear" w:color="auto" w:fill="EFEFEF"/>
            <w:tcMar>
              <w:top w:w="54" w:type="dxa"/>
              <w:left w:w="54" w:type="dxa"/>
              <w:bottom w:w="54" w:type="dxa"/>
              <w:right w:w="54" w:type="dxa"/>
            </w:tcMar>
          </w:tcPr>
          <w:p w14:paraId="7ABAE37B">
            <w:pPr>
              <w:pStyle w:val="3"/>
              <w:numPr>
                <w:ilvl w:val="1"/>
                <w:numId w:val="62"/>
              </w:numPr>
              <w:spacing w:line="360" w:lineRule="auto"/>
              <w:rPr>
                <w:sz w:val="24"/>
                <w:szCs w:val="24"/>
                <w:lang w:val="en-US"/>
              </w:rPr>
            </w:pPr>
            <w:r>
              <w:rPr>
                <w:sz w:val="24"/>
                <w:szCs w:val="24"/>
                <w:lang w:val="en-US"/>
              </w:rPr>
              <w:t>Have the legal advisers evaluated the marked-up draft PPP contract proposed by the bidders, assessing it against its risk allocation and value for money targets?</w:t>
            </w:r>
          </w:p>
        </w:tc>
      </w:tr>
      <w:tr w14:paraId="6EE5CFD5">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746" w:hRule="atLeast"/>
        </w:trPr>
        <w:tc>
          <w:tcPr>
            <w:tcW w:w="8362" w:type="dxa"/>
            <w:tcBorders>
              <w:top w:val="dotted" w:color="919191" w:sz="6" w:space="0"/>
              <w:left w:val="nil"/>
              <w:bottom w:val="dotted" w:color="919191" w:sz="6" w:space="0"/>
              <w:right w:val="nil"/>
            </w:tcBorders>
            <w:shd w:val="clear" w:color="auto" w:fill="EEEEEE"/>
            <w:tcMar>
              <w:top w:w="54" w:type="dxa"/>
              <w:left w:w="54" w:type="dxa"/>
              <w:bottom w:w="54" w:type="dxa"/>
              <w:right w:w="54" w:type="dxa"/>
            </w:tcMar>
          </w:tcPr>
          <w:p w14:paraId="53FEBEAD">
            <w:pPr>
              <w:pStyle w:val="3"/>
              <w:numPr>
                <w:ilvl w:val="1"/>
                <w:numId w:val="63"/>
              </w:numPr>
              <w:spacing w:line="360" w:lineRule="auto"/>
              <w:rPr>
                <w:sz w:val="24"/>
                <w:szCs w:val="24"/>
                <w:lang w:val="en-US"/>
              </w:rPr>
            </w:pPr>
            <w:r>
              <w:rPr>
                <w:sz w:val="24"/>
                <w:szCs w:val="24"/>
                <w:lang w:val="en-US"/>
              </w:rPr>
              <w:t>Have the financial advisers assessed affordability, project costs, sources and costs of funding and project bankability?</w:t>
            </w:r>
          </w:p>
        </w:tc>
      </w:tr>
      <w:tr w14:paraId="4F3D9278">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188" w:hRule="atLeast"/>
        </w:trPr>
        <w:tc>
          <w:tcPr>
            <w:tcW w:w="8362" w:type="dxa"/>
            <w:tcBorders>
              <w:top w:val="dotted" w:color="919191" w:sz="6" w:space="0"/>
              <w:left w:val="nil"/>
              <w:bottom w:val="dotted" w:color="919191" w:sz="6" w:space="0"/>
              <w:right w:val="nil"/>
            </w:tcBorders>
            <w:shd w:val="clear" w:color="auto" w:fill="EFEFEF"/>
            <w:tcMar>
              <w:top w:w="54" w:type="dxa"/>
              <w:left w:w="54" w:type="dxa"/>
              <w:bottom w:w="54" w:type="dxa"/>
              <w:right w:w="54" w:type="dxa"/>
            </w:tcMar>
          </w:tcPr>
          <w:p w14:paraId="0163082F">
            <w:pPr>
              <w:pStyle w:val="3"/>
              <w:numPr>
                <w:ilvl w:val="1"/>
                <w:numId w:val="64"/>
              </w:numPr>
              <w:spacing w:line="360" w:lineRule="auto"/>
              <w:rPr>
                <w:sz w:val="24"/>
                <w:szCs w:val="24"/>
                <w:lang w:val="en-US"/>
              </w:rPr>
            </w:pPr>
            <w:r>
              <w:rPr>
                <w:sz w:val="24"/>
                <w:szCs w:val="24"/>
                <w:lang w:val="en-US"/>
              </w:rPr>
              <w:t>Have the negotiations resulted in terms and conditions that vary substantially and materially from the bid offer and therefore could be open to challenge because they are less favourable or could have resulted in the selection of a different bidder?</w:t>
            </w:r>
          </w:p>
        </w:tc>
      </w:tr>
      <w:tr w14:paraId="23AE9B59">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04" w:hRule="atLeast"/>
        </w:trPr>
        <w:tc>
          <w:tcPr>
            <w:tcW w:w="8362" w:type="dxa"/>
            <w:tcBorders>
              <w:top w:val="dotted" w:color="919191" w:sz="6" w:space="0"/>
              <w:left w:val="nil"/>
              <w:bottom w:val="dotted" w:color="919191" w:sz="6" w:space="0"/>
              <w:right w:val="nil"/>
            </w:tcBorders>
            <w:shd w:val="clear" w:color="auto" w:fill="EEEEEE"/>
            <w:tcMar>
              <w:top w:w="54" w:type="dxa"/>
              <w:left w:w="54" w:type="dxa"/>
              <w:bottom w:w="54" w:type="dxa"/>
              <w:right w:w="54" w:type="dxa"/>
            </w:tcMar>
          </w:tcPr>
          <w:p w14:paraId="0828E38F">
            <w:pPr>
              <w:pStyle w:val="3"/>
              <w:numPr>
                <w:ilvl w:val="1"/>
                <w:numId w:val="65"/>
              </w:numPr>
              <w:spacing w:line="360" w:lineRule="auto"/>
              <w:rPr>
                <w:sz w:val="24"/>
                <w:szCs w:val="24"/>
                <w:lang w:val="en-US"/>
              </w:rPr>
            </w:pPr>
            <w:r>
              <w:rPr>
                <w:sz w:val="24"/>
                <w:szCs w:val="24"/>
                <w:lang w:val="en-US"/>
              </w:rPr>
              <w:t>Have all the legal and administrative requirements of contract award been complied with?</w:t>
            </w:r>
          </w:p>
        </w:tc>
      </w:tr>
      <w:tr w14:paraId="677FD531">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97" w:hRule="atLeast"/>
        </w:trPr>
        <w:tc>
          <w:tcPr>
            <w:tcW w:w="8362" w:type="dxa"/>
            <w:tcBorders>
              <w:top w:val="dotted" w:color="919191" w:sz="6" w:space="0"/>
              <w:left w:val="nil"/>
              <w:bottom w:val="nil"/>
              <w:right w:val="nil"/>
            </w:tcBorders>
            <w:shd w:val="clear" w:color="auto" w:fill="EFEFEF"/>
            <w:tcMar>
              <w:top w:w="54" w:type="dxa"/>
              <w:left w:w="54" w:type="dxa"/>
              <w:bottom w:w="54" w:type="dxa"/>
              <w:right w:w="54" w:type="dxa"/>
            </w:tcMar>
          </w:tcPr>
          <w:p w14:paraId="7C8A7A39">
            <w:pPr>
              <w:pStyle w:val="3"/>
              <w:numPr>
                <w:ilvl w:val="1"/>
                <w:numId w:val="66"/>
              </w:numPr>
              <w:spacing w:line="360" w:lineRule="auto"/>
              <w:rPr>
                <w:sz w:val="24"/>
                <w:szCs w:val="24"/>
                <w:lang w:val="en-US"/>
              </w:rPr>
            </w:pPr>
            <w:r>
              <w:rPr>
                <w:sz w:val="24"/>
                <w:szCs w:val="24"/>
                <w:lang w:val="en-US"/>
              </w:rPr>
              <w:t>Is the final PPP contract still affordable and does it represent value for money?</w:t>
            </w:r>
          </w:p>
        </w:tc>
      </w:tr>
    </w:tbl>
    <w:p w14:paraId="2E2295A3">
      <w:pPr>
        <w:pStyle w:val="25"/>
        <w:tabs>
          <w:tab w:val="left" w:pos="144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left="2304" w:right="140" w:hanging="360"/>
        <w:jc w:val="both"/>
        <w:rPr>
          <w:rFonts w:ascii="Times New Roman" w:hAnsi="Times New Roman" w:eastAsia="Times New Roman" w:cs="Times New Roman"/>
          <w:sz w:val="24"/>
          <w:szCs w:val="24"/>
        </w:rPr>
      </w:pPr>
    </w:p>
    <w:p w14:paraId="7FD36A13">
      <w:pPr>
        <w:pStyle w:val="24"/>
      </w:pPr>
    </w:p>
    <w:p w14:paraId="6C994F43">
      <w:pPr>
        <w:pStyle w:val="4"/>
        <w:numPr>
          <w:ilvl w:val="2"/>
          <w:numId w:val="54"/>
        </w:numPr>
        <w:jc w:val="both"/>
        <w:rPr>
          <w:rFonts w:ascii="Helvetica Neue Light" w:hAnsi="Helvetica Neue Light" w:eastAsia="Helvetica Neue Light" w:cs="Helvetica Neue Light"/>
          <w:sz w:val="24"/>
          <w:szCs w:val="24"/>
        </w:rPr>
      </w:pPr>
      <w:bookmarkStart w:id="64" w:name="_Toc63"/>
      <w:r>
        <w:rPr>
          <w:b/>
          <w:bCs/>
          <w:sz w:val="24"/>
          <w:szCs w:val="24"/>
          <w:lang w:val="en-US"/>
        </w:rPr>
        <w:t>Handover Projects Assets/Personnel etc…</w:t>
      </w:r>
      <w:r>
        <w:rPr>
          <w:rFonts w:ascii="Helvetica Neue Light" w:hAnsi="Helvetica Neue Light"/>
          <w:sz w:val="24"/>
          <w:szCs w:val="24"/>
          <w:lang w:val="en-US"/>
        </w:rPr>
        <w:t xml:space="preserve"> </w:t>
      </w:r>
      <w:bookmarkEnd w:id="64"/>
    </w:p>
    <w:p w14:paraId="5082C0FD">
      <w:pPr>
        <w:pStyle w:val="3"/>
        <w:numPr>
          <w:ilvl w:val="3"/>
          <w:numId w:val="67"/>
        </w:numPr>
        <w:spacing w:line="360" w:lineRule="auto"/>
        <w:jc w:val="both"/>
        <w:rPr>
          <w:sz w:val="24"/>
          <w:szCs w:val="24"/>
          <w:lang w:val="en-US"/>
        </w:rPr>
      </w:pPr>
      <w:r>
        <w:rPr>
          <w:sz w:val="24"/>
          <w:szCs w:val="24"/>
          <w:lang w:val="en-US"/>
        </w:rPr>
        <w:t>After the PPP procurement proceedings have been followed and concluded, and the PPP agreement signed and come into force, including financial closure of the PPP project. The UNN PPP UNIT shall hand over to the procurement entity necessary documents and authorisation required for the implementation of the project, within the time frame and in accordance with the conditions stipulated in the PPP  agreement, free from any encumbrances.</w:t>
      </w:r>
    </w:p>
    <w:p w14:paraId="4332894B">
      <w:pPr>
        <w:pStyle w:val="3"/>
        <w:numPr>
          <w:ilvl w:val="3"/>
          <w:numId w:val="57"/>
        </w:numPr>
        <w:spacing w:line="360" w:lineRule="auto"/>
        <w:jc w:val="both"/>
        <w:rPr>
          <w:sz w:val="24"/>
          <w:szCs w:val="24"/>
          <w:lang w:val="en-US"/>
        </w:rPr>
      </w:pPr>
      <w:r>
        <w:rPr>
          <w:sz w:val="24"/>
          <w:szCs w:val="24"/>
          <w:lang w:val="en-US"/>
        </w:rPr>
        <w:t>There shall be provisions providing for the transfer to a PPP contract or the existing facilities at schools or other facilities, such as any existing  physical  assets,  rights  of     workers and possibly also certain liabilities. Usage, condition and liability issues shall be negotiated, agreed and appropriately documented.</w:t>
      </w:r>
    </w:p>
    <w:p w14:paraId="04C9E4DB">
      <w:pPr>
        <w:pStyle w:val="3"/>
        <w:numPr>
          <w:ilvl w:val="3"/>
          <w:numId w:val="57"/>
        </w:numPr>
        <w:spacing w:line="360" w:lineRule="auto"/>
        <w:jc w:val="both"/>
        <w:rPr>
          <w:sz w:val="24"/>
          <w:szCs w:val="24"/>
          <w:lang w:val="en-US"/>
        </w:rPr>
      </w:pPr>
      <w:r>
        <w:rPr>
          <w:sz w:val="24"/>
          <w:szCs w:val="24"/>
          <w:lang w:val="en-US"/>
        </w:rPr>
        <w:t>In education PPP projects where existing employed personnel are transferred to a PPP contractor, provisions shall be addressed by UNN PPP UNIT dealing with the transfer process and risk.</w:t>
      </w:r>
    </w:p>
    <w:p w14:paraId="2866FD5B">
      <w:pPr>
        <w:pStyle w:val="2"/>
        <w:rPr>
          <w:color w:val="000000"/>
          <w:sz w:val="24"/>
          <w:szCs w:val="24"/>
        </w:rPr>
      </w:pPr>
      <w:bookmarkStart w:id="65" w:name="_Toc64"/>
      <w:r>
        <w:rPr>
          <w:color w:val="000000"/>
          <w:sz w:val="24"/>
          <w:szCs w:val="24"/>
          <w:lang w:val="en-US"/>
        </w:rPr>
        <w:t>8.4. PPP Project Revenue Sources</w:t>
      </w:r>
      <w:bookmarkEnd w:id="65"/>
    </w:p>
    <w:p w14:paraId="65F044D4">
      <w:pPr>
        <w:pStyle w:val="3"/>
        <w:numPr>
          <w:ilvl w:val="1"/>
          <w:numId w:val="68"/>
        </w:numPr>
        <w:spacing w:line="360" w:lineRule="auto"/>
        <w:jc w:val="both"/>
        <w:rPr>
          <w:sz w:val="24"/>
          <w:szCs w:val="24"/>
          <w:lang w:val="en-US"/>
        </w:rPr>
      </w:pPr>
      <w:r>
        <w:rPr>
          <w:sz w:val="24"/>
          <w:szCs w:val="24"/>
          <w:lang w:val="en-US"/>
        </w:rPr>
        <w:t xml:space="preserve">Decisions on appropriate revenue sources shall be based on the findings of the Feasibility Study and recommendation of the PPP UNIT (the approval of the Feasibility Study would include an approval of an appropriate revenue source). Revenue sources for the private party could include tariffs and/or annuity payments as discussed below. </w:t>
      </w:r>
    </w:p>
    <w:p w14:paraId="4D8D716D">
      <w:pPr>
        <w:pStyle w:val="3"/>
        <w:numPr>
          <w:ilvl w:val="1"/>
          <w:numId w:val="68"/>
        </w:numPr>
        <w:spacing w:line="360" w:lineRule="auto"/>
        <w:jc w:val="both"/>
        <w:rPr>
          <w:sz w:val="24"/>
          <w:szCs w:val="24"/>
          <w:lang w:val="en-US"/>
        </w:rPr>
      </w:pPr>
      <w:r>
        <w:rPr>
          <w:sz w:val="24"/>
          <w:szCs w:val="24"/>
          <w:lang w:val="en-US"/>
        </w:rPr>
        <w:t xml:space="preserve">Tariff: For many infrastructure projects, a user tariff based agreement is appropriate. Initial tariffs and subsequent tariff escalation shall be initially determined within feasibility studies to ensure a proper or market acceptable rate of return based on an efficient operation. Competitive bidding process aims to minimise the initially University estimated tariffs and the subsequent escalation rate. The proposed tariffs and basis for tariff escalation during the PPP term shall be project-based </w:t>
      </w:r>
      <w:r>
        <w:rPr>
          <w:sz w:val="24"/>
          <w:szCs w:val="24"/>
          <w:lang w:val="en-US"/>
        </w:rPr>
        <w:tab/>
      </w:r>
      <w:r>
        <w:rPr>
          <w:sz w:val="24"/>
          <w:szCs w:val="24"/>
          <w:lang w:val="en-US"/>
        </w:rPr>
        <w:t xml:space="preserve">(as opposed to being sector- based) and both shall be written into the PPP Agreement. PPP Agreement shall allow for tariff resetting and clearly define the mechanism and methodology for resetting. </w:t>
      </w:r>
      <w:r>
        <w:rPr>
          <w:sz w:val="24"/>
          <w:szCs w:val="24"/>
          <w:lang w:val="en-US"/>
        </w:rPr>
        <w:tab/>
      </w:r>
    </w:p>
    <w:p w14:paraId="46453877">
      <w:pPr>
        <w:pStyle w:val="3"/>
        <w:numPr>
          <w:ilvl w:val="1"/>
          <w:numId w:val="68"/>
        </w:numPr>
        <w:spacing w:line="360" w:lineRule="auto"/>
        <w:jc w:val="both"/>
        <w:rPr>
          <w:sz w:val="24"/>
          <w:szCs w:val="24"/>
          <w:lang w:val="en-US"/>
        </w:rPr>
      </w:pPr>
      <w:r>
        <w:rPr>
          <w:sz w:val="24"/>
          <w:szCs w:val="24"/>
          <w:lang w:val="en-US"/>
        </w:rPr>
        <w:t xml:space="preserve">Annuity Payments: Periodic unitary or fixed or annuity or off-take payment structure is suitable for certain types of projects such as those: </w:t>
      </w:r>
    </w:p>
    <w:p w14:paraId="68940D36">
      <w:pPr>
        <w:pStyle w:val="3"/>
        <w:spacing w:line="360" w:lineRule="auto"/>
        <w:ind w:left="1728"/>
        <w:jc w:val="both"/>
        <w:rPr>
          <w:sz w:val="24"/>
          <w:szCs w:val="24"/>
        </w:rPr>
      </w:pPr>
      <w:r>
        <w:rPr>
          <w:sz w:val="24"/>
          <w:szCs w:val="24"/>
          <w:lang w:val="en-US"/>
        </w:rPr>
        <w:t xml:space="preserve">i). without a direct revenue stream, or </w:t>
      </w:r>
      <w:r>
        <w:rPr>
          <w:sz w:val="24"/>
          <w:szCs w:val="24"/>
          <w:lang w:val="en-US"/>
        </w:rPr>
        <w:tab/>
      </w:r>
      <w:r>
        <w:rPr>
          <w:sz w:val="24"/>
          <w:szCs w:val="24"/>
          <w:lang w:val="en-US"/>
        </w:rPr>
        <w:tab/>
      </w:r>
    </w:p>
    <w:p w14:paraId="12CBC49C">
      <w:pPr>
        <w:pStyle w:val="3"/>
        <w:spacing w:line="360" w:lineRule="auto"/>
        <w:ind w:left="1728"/>
        <w:jc w:val="both"/>
        <w:rPr>
          <w:sz w:val="24"/>
          <w:szCs w:val="24"/>
        </w:rPr>
      </w:pPr>
      <w:r>
        <w:rPr>
          <w:sz w:val="24"/>
          <w:szCs w:val="24"/>
          <w:lang w:val="en-US"/>
        </w:rPr>
        <w:t xml:space="preserve">ii). with a weak revenue base, or </w:t>
      </w:r>
      <w:r>
        <w:rPr>
          <w:sz w:val="24"/>
          <w:szCs w:val="24"/>
          <w:lang w:val="en-US"/>
        </w:rPr>
        <w:tab/>
      </w:r>
      <w:r>
        <w:rPr>
          <w:sz w:val="24"/>
          <w:szCs w:val="24"/>
          <w:lang w:val="en-US"/>
        </w:rPr>
        <w:tab/>
      </w:r>
    </w:p>
    <w:p w14:paraId="2E424F0B">
      <w:pPr>
        <w:pStyle w:val="3"/>
        <w:spacing w:line="360" w:lineRule="auto"/>
        <w:ind w:left="1728"/>
        <w:jc w:val="both"/>
        <w:rPr>
          <w:sz w:val="24"/>
          <w:szCs w:val="24"/>
        </w:rPr>
      </w:pPr>
      <w:r>
        <w:rPr>
          <w:sz w:val="24"/>
          <w:szCs w:val="24"/>
          <w:lang w:val="en-US"/>
        </w:rPr>
        <w:t xml:space="preserve">iii). with a weaker than acceptable demand, or </w:t>
      </w:r>
      <w:r>
        <w:rPr>
          <w:sz w:val="24"/>
          <w:szCs w:val="24"/>
          <w:lang w:val="en-US"/>
        </w:rPr>
        <w:tab/>
      </w:r>
      <w:r>
        <w:rPr>
          <w:sz w:val="24"/>
          <w:szCs w:val="24"/>
          <w:lang w:val="en-US"/>
        </w:rPr>
        <w:tab/>
      </w:r>
    </w:p>
    <w:p w14:paraId="40DF1F94">
      <w:pPr>
        <w:pStyle w:val="3"/>
        <w:spacing w:line="360" w:lineRule="auto"/>
        <w:ind w:left="1728"/>
        <w:jc w:val="both"/>
        <w:rPr>
          <w:sz w:val="24"/>
          <w:szCs w:val="24"/>
        </w:rPr>
      </w:pPr>
      <w:r>
        <w:rPr>
          <w:sz w:val="24"/>
          <w:szCs w:val="24"/>
          <w:lang w:val="en-US"/>
        </w:rPr>
        <w:t xml:space="preserve">iv). with higher than acceptable risks. </w:t>
      </w:r>
    </w:p>
    <w:p w14:paraId="4ACB4EA7">
      <w:pPr>
        <w:pStyle w:val="3"/>
        <w:numPr>
          <w:ilvl w:val="1"/>
          <w:numId w:val="68"/>
        </w:numPr>
        <w:spacing w:line="360" w:lineRule="auto"/>
        <w:jc w:val="both"/>
        <w:rPr>
          <w:sz w:val="24"/>
          <w:szCs w:val="24"/>
          <w:lang w:val="en-US"/>
        </w:rPr>
      </w:pPr>
      <w:r>
        <w:rPr>
          <w:sz w:val="24"/>
          <w:szCs w:val="24"/>
          <w:lang w:val="en-US"/>
        </w:rPr>
        <w:t xml:space="preserve">University pays PPP: The University is the sole source of revenue for the private partner. Government payments can depend on the asset or service meeting contractually defined performance </w:t>
      </w:r>
      <w:r>
        <w:rPr>
          <w:sz w:val="24"/>
          <w:szCs w:val="24"/>
          <w:lang w:val="en-US"/>
        </w:rPr>
        <w:tab/>
      </w:r>
      <w:r>
        <w:rPr>
          <w:sz w:val="24"/>
          <w:szCs w:val="24"/>
          <w:lang w:val="en-US"/>
        </w:rPr>
        <w:t xml:space="preserve">standards. </w:t>
      </w:r>
    </w:p>
    <w:p w14:paraId="749526FE">
      <w:pPr>
        <w:pStyle w:val="3"/>
        <w:numPr>
          <w:ilvl w:val="1"/>
          <w:numId w:val="68"/>
        </w:numPr>
        <w:spacing w:line="360" w:lineRule="auto"/>
        <w:jc w:val="both"/>
        <w:rPr>
          <w:sz w:val="24"/>
          <w:szCs w:val="24"/>
          <w:lang w:val="en-US"/>
        </w:rPr>
      </w:pPr>
      <w:r>
        <w:rPr>
          <w:sz w:val="24"/>
          <w:szCs w:val="24"/>
          <w:lang w:val="en-US"/>
        </w:rPr>
        <w:t>Hybrid payments PPP: In certain cases, particularly when the revenues collected from end users are insufficient to cover the private partner costs and desired profits, a combination of the previously mentioned payment methods is utilised.</w:t>
      </w:r>
    </w:p>
    <w:p w14:paraId="1248B3A8">
      <w:pPr>
        <w:pStyle w:val="2"/>
        <w:spacing w:line="360" w:lineRule="auto"/>
        <w:rPr>
          <w:color w:val="000000"/>
        </w:rPr>
      </w:pPr>
      <w:bookmarkStart w:id="66" w:name="_Toc65"/>
      <w:r>
        <w:rPr>
          <w:color w:val="000000"/>
          <w:lang w:val="en-US"/>
        </w:rPr>
        <w:t xml:space="preserve">8.5. Project Life Ceiling and those excluded from PPP Arrangement </w:t>
      </w:r>
      <w:bookmarkEnd w:id="66"/>
    </w:p>
    <w:p w14:paraId="0A20E20A">
      <w:pPr>
        <w:pStyle w:val="3"/>
        <w:spacing w:line="360" w:lineRule="auto"/>
        <w:jc w:val="both"/>
        <w:rPr>
          <w:sz w:val="24"/>
          <w:szCs w:val="24"/>
        </w:rPr>
      </w:pPr>
      <w:r>
        <w:rPr>
          <w:sz w:val="24"/>
          <w:szCs w:val="24"/>
          <w:lang w:val="en-US"/>
        </w:rPr>
        <w:t xml:space="preserve">The lifespan of all projects covered within this PPP policy framework shall conform to the extant federal laws. In this respect, the project shall not exceed </w:t>
      </w:r>
      <w:r>
        <w:rPr>
          <w:color w:val="000000" w:themeColor="text1"/>
          <w:sz w:val="24"/>
          <w:szCs w:val="24"/>
          <w:lang w:val="en-US"/>
          <w14:textFill>
            <w14:solidFill>
              <w14:schemeClr w14:val="tx1"/>
            </w14:solidFill>
          </w14:textFill>
        </w:rPr>
        <w:t>35 years (21 years in the first instance subject to renegotiation of not more than 10 years)</w:t>
      </w:r>
      <w:r>
        <w:rPr>
          <w:color w:val="EE0000"/>
          <w:sz w:val="24"/>
          <w:szCs w:val="24"/>
          <w:lang w:val="en-US"/>
        </w:rPr>
        <w:t xml:space="preserve"> </w:t>
      </w:r>
      <w:r>
        <w:rPr>
          <w:sz w:val="24"/>
          <w:szCs w:val="24"/>
          <w:lang w:val="en-US"/>
        </w:rPr>
        <w:t>before it reverts to the University. Any considerations of renewal or extensions can only proceed after a clear disengagement has been completed and must be done with the guidelines and conditions permitted by this policy or any other laws in this regard. While the  below table presents the list of internal projects better managed through PPP,    the  PPP   option shall exclude   core academic  and pedagogical functions, weak  commercial viability projects(lecture halls),and projects Central to student welfare (admission and enrolment).</w:t>
      </w:r>
    </w:p>
    <w:p w14:paraId="2A8C6157">
      <w:pPr>
        <w:pStyle w:val="2"/>
        <w:rPr>
          <w:color w:val="000000"/>
        </w:rPr>
      </w:pPr>
    </w:p>
    <w:p w14:paraId="667F19EC">
      <w:pPr>
        <w:pStyle w:val="2"/>
        <w:rPr>
          <w:color w:val="000000"/>
        </w:rPr>
      </w:pPr>
      <w:bookmarkStart w:id="67" w:name="_Toc66"/>
      <w:r>
        <w:rPr>
          <w:color w:val="000000"/>
          <w:lang w:val="en-US"/>
        </w:rPr>
        <w:t>8.6. University Sectors Suitable for PPPs and Potential Partnership Models</w:t>
      </w:r>
      <w:bookmarkEnd w:id="67"/>
    </w:p>
    <w:p w14:paraId="35127257">
      <w:pPr>
        <w:pStyle w:val="24"/>
      </w:pPr>
    </w:p>
    <w:tbl>
      <w:tblPr>
        <w:tblStyle w:val="6"/>
        <w:tblW w:w="9360" w:type="dxa"/>
        <w:tblInd w:w="108" w:type="dxa"/>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Layout w:type="fixed"/>
        <w:tblCellMar>
          <w:top w:w="0" w:type="dxa"/>
          <w:left w:w="108" w:type="dxa"/>
          <w:bottom w:w="0" w:type="dxa"/>
          <w:right w:w="108" w:type="dxa"/>
        </w:tblCellMar>
      </w:tblPr>
      <w:tblGrid>
        <w:gridCol w:w="1583"/>
        <w:gridCol w:w="2348"/>
        <w:gridCol w:w="1826"/>
        <w:gridCol w:w="1395"/>
        <w:gridCol w:w="2208"/>
      </w:tblGrid>
      <w:tr w14:paraId="760D4072">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747" w:hRule="atLeast"/>
        </w:trPr>
        <w:tc>
          <w:tcPr>
            <w:tcW w:w="1583" w:type="dxa"/>
            <w:tcBorders>
              <w:top w:val="nil"/>
              <w:left w:val="nil"/>
              <w:bottom w:val="dotted" w:color="919191" w:sz="6" w:space="0"/>
              <w:right w:val="single" w:color="919191" w:sz="2" w:space="0"/>
            </w:tcBorders>
            <w:tcMar>
              <w:top w:w="54" w:type="dxa"/>
              <w:left w:w="54" w:type="dxa"/>
              <w:bottom w:w="54" w:type="dxa"/>
              <w:right w:w="194" w:type="dxa"/>
            </w:tcMar>
          </w:tcPr>
          <w:p w14:paraId="1FB933E5">
            <w:pPr>
              <w:pStyle w:val="26"/>
              <w:tabs>
                <w:tab w:val="left" w:pos="560"/>
                <w:tab w:val="left" w:pos="1120"/>
              </w:tabs>
              <w:spacing w:line="360" w:lineRule="auto"/>
              <w:ind w:right="140"/>
              <w:jc w:val="both"/>
            </w:pPr>
            <w:r>
              <w:rPr>
                <w:sz w:val="24"/>
                <w:szCs w:val="24"/>
              </w:rPr>
              <w:t>Sector</w:t>
            </w:r>
          </w:p>
        </w:tc>
        <w:tc>
          <w:tcPr>
            <w:tcW w:w="2347" w:type="dxa"/>
            <w:tcBorders>
              <w:top w:val="nil"/>
              <w:left w:val="single" w:color="919191" w:sz="2" w:space="0"/>
              <w:bottom w:val="dotted" w:color="919191" w:sz="6" w:space="0"/>
              <w:right w:val="single" w:color="919191" w:sz="2" w:space="0"/>
            </w:tcBorders>
            <w:tcMar>
              <w:top w:w="54" w:type="dxa"/>
              <w:left w:w="54" w:type="dxa"/>
              <w:bottom w:w="54" w:type="dxa"/>
              <w:right w:w="194" w:type="dxa"/>
            </w:tcMar>
          </w:tcPr>
          <w:p w14:paraId="1F08AC30">
            <w:pPr>
              <w:pStyle w:val="26"/>
              <w:tabs>
                <w:tab w:val="left" w:pos="560"/>
                <w:tab w:val="left" w:pos="1120"/>
                <w:tab w:val="left" w:pos="1680"/>
                <w:tab w:val="left" w:pos="2240"/>
              </w:tabs>
              <w:spacing w:line="360" w:lineRule="auto"/>
              <w:ind w:right="140"/>
              <w:jc w:val="both"/>
            </w:pPr>
            <w:r>
              <w:rPr>
                <w:sz w:val="24"/>
                <w:szCs w:val="24"/>
              </w:rPr>
              <w:t>Summary of Existing Facilities</w:t>
            </w:r>
          </w:p>
        </w:tc>
        <w:tc>
          <w:tcPr>
            <w:tcW w:w="1825" w:type="dxa"/>
            <w:tcBorders>
              <w:top w:val="nil"/>
              <w:left w:val="single" w:color="919191" w:sz="2" w:space="0"/>
              <w:bottom w:val="dotted" w:color="919191" w:sz="6" w:space="0"/>
              <w:right w:val="single" w:color="919191" w:sz="2" w:space="0"/>
            </w:tcBorders>
            <w:tcMar>
              <w:top w:w="54" w:type="dxa"/>
              <w:left w:w="54" w:type="dxa"/>
              <w:bottom w:w="54" w:type="dxa"/>
              <w:right w:w="194" w:type="dxa"/>
            </w:tcMar>
          </w:tcPr>
          <w:p w14:paraId="2AC278AB">
            <w:pPr>
              <w:pStyle w:val="26"/>
              <w:tabs>
                <w:tab w:val="left" w:pos="560"/>
                <w:tab w:val="left" w:pos="1120"/>
                <w:tab w:val="left" w:pos="1680"/>
              </w:tabs>
              <w:spacing w:line="360" w:lineRule="auto"/>
              <w:ind w:right="140"/>
              <w:jc w:val="both"/>
            </w:pPr>
            <w:r>
              <w:rPr>
                <w:sz w:val="24"/>
                <w:szCs w:val="24"/>
              </w:rPr>
              <w:t>Proposed PPP (Tentative)</w:t>
            </w:r>
          </w:p>
        </w:tc>
        <w:tc>
          <w:tcPr>
            <w:tcW w:w="1395" w:type="dxa"/>
            <w:tcBorders>
              <w:top w:val="nil"/>
              <w:left w:val="single" w:color="919191" w:sz="2" w:space="0"/>
              <w:bottom w:val="dotted" w:color="919191" w:sz="6" w:space="0"/>
              <w:right w:val="single" w:color="919191" w:sz="2" w:space="0"/>
            </w:tcBorders>
            <w:tcMar>
              <w:top w:w="54" w:type="dxa"/>
              <w:left w:w="54" w:type="dxa"/>
              <w:bottom w:w="54" w:type="dxa"/>
              <w:right w:w="194" w:type="dxa"/>
            </w:tcMar>
          </w:tcPr>
          <w:p w14:paraId="019BF9B0">
            <w:pPr>
              <w:pStyle w:val="26"/>
              <w:tabs>
                <w:tab w:val="left" w:pos="560"/>
                <w:tab w:val="left" w:pos="1120"/>
              </w:tabs>
              <w:spacing w:line="360" w:lineRule="auto"/>
              <w:ind w:right="140"/>
              <w:jc w:val="both"/>
            </w:pPr>
            <w:r>
              <w:rPr>
                <w:sz w:val="24"/>
                <w:szCs w:val="24"/>
              </w:rPr>
              <w:t>Rationale/Reason</w:t>
            </w:r>
          </w:p>
        </w:tc>
        <w:tc>
          <w:tcPr>
            <w:tcW w:w="2207" w:type="dxa"/>
            <w:tcBorders>
              <w:top w:val="nil"/>
              <w:left w:val="single" w:color="919191" w:sz="2" w:space="0"/>
              <w:bottom w:val="dotted" w:color="919191" w:sz="6" w:space="0"/>
              <w:right w:val="nil"/>
            </w:tcBorders>
            <w:tcMar>
              <w:top w:w="54" w:type="dxa"/>
              <w:left w:w="54" w:type="dxa"/>
              <w:bottom w:w="54" w:type="dxa"/>
              <w:right w:w="194" w:type="dxa"/>
            </w:tcMar>
          </w:tcPr>
          <w:p w14:paraId="57C685F1">
            <w:pPr>
              <w:pStyle w:val="26"/>
              <w:tabs>
                <w:tab w:val="left" w:pos="560"/>
                <w:tab w:val="left" w:pos="1120"/>
                <w:tab w:val="left" w:pos="1680"/>
              </w:tabs>
              <w:spacing w:line="360" w:lineRule="auto"/>
              <w:ind w:right="140"/>
              <w:jc w:val="both"/>
            </w:pPr>
            <w:r>
              <w:rPr>
                <w:sz w:val="24"/>
                <w:szCs w:val="24"/>
              </w:rPr>
              <w:t>Duties of Investors</w:t>
            </w:r>
          </w:p>
        </w:tc>
      </w:tr>
      <w:tr w14:paraId="2257EDE6">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4773" w:hRule="atLeast"/>
        </w:trPr>
        <w:tc>
          <w:tcPr>
            <w:tcW w:w="1583" w:type="dxa"/>
            <w:tcBorders>
              <w:top w:val="dotted" w:color="919191" w:sz="6" w:space="0"/>
              <w:left w:val="nil"/>
              <w:bottom w:val="dotted" w:color="919191" w:sz="6" w:space="0"/>
              <w:right w:val="single" w:color="919191" w:sz="2" w:space="0"/>
            </w:tcBorders>
            <w:shd w:val="clear" w:color="auto" w:fill="EEEEEE"/>
            <w:tcMar>
              <w:top w:w="54" w:type="dxa"/>
              <w:left w:w="54" w:type="dxa"/>
              <w:bottom w:w="54" w:type="dxa"/>
              <w:right w:w="194" w:type="dxa"/>
            </w:tcMar>
          </w:tcPr>
          <w:p w14:paraId="756E4F2B">
            <w:pPr>
              <w:pStyle w:val="26"/>
              <w:tabs>
                <w:tab w:val="left" w:pos="560"/>
                <w:tab w:val="left" w:pos="1120"/>
              </w:tabs>
              <w:spacing w:line="360" w:lineRule="auto"/>
              <w:ind w:right="140"/>
              <w:jc w:val="both"/>
            </w:pPr>
            <w:r>
              <w:rPr>
                <w:sz w:val="24"/>
                <w:szCs w:val="24"/>
              </w:rPr>
              <w:t>Housing – Student Hostels (Nsukka &amp; Enugu)</w:t>
            </w:r>
          </w:p>
        </w:tc>
        <w:tc>
          <w:tcPr>
            <w:tcW w:w="2347"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194" w:type="dxa"/>
            </w:tcMar>
          </w:tcPr>
          <w:p w14:paraId="23E02B45">
            <w:pPr>
              <w:pStyle w:val="26"/>
              <w:tabs>
                <w:tab w:val="left" w:pos="560"/>
                <w:tab w:val="left" w:pos="1120"/>
                <w:tab w:val="left" w:pos="1680"/>
                <w:tab w:val="left" w:pos="2240"/>
              </w:tabs>
              <w:spacing w:line="360" w:lineRule="auto"/>
              <w:ind w:right="140"/>
              <w:jc w:val="both"/>
            </w:pPr>
            <w:r>
              <w:rPr>
                <w:sz w:val="24"/>
                <w:szCs w:val="24"/>
              </w:rPr>
              <w:t>Dilapidated or poorly maintained hostels (Zik’s Flats unused 10+ yrs; others functional but need maintenance; limited water, sewage, and electricity issues).</w:t>
            </w:r>
          </w:p>
        </w:tc>
        <w:tc>
          <w:tcPr>
            <w:tcW w:w="1825"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194" w:type="dxa"/>
            </w:tcMar>
          </w:tcPr>
          <w:p w14:paraId="69E8B946">
            <w:pPr>
              <w:pStyle w:val="26"/>
              <w:tabs>
                <w:tab w:val="left" w:pos="560"/>
                <w:tab w:val="left" w:pos="1120"/>
                <w:tab w:val="left" w:pos="1680"/>
              </w:tabs>
              <w:spacing w:line="360" w:lineRule="auto"/>
              <w:ind w:right="140"/>
              <w:jc w:val="both"/>
            </w:pPr>
            <w:r>
              <w:rPr>
                <w:sz w:val="24"/>
                <w:szCs w:val="24"/>
              </w:rPr>
              <w:t>BOT (20-30 yrs-Negotiable) for Zik’s Flats; Management contracts (5 yrs renewable) for others.</w:t>
            </w:r>
          </w:p>
        </w:tc>
        <w:tc>
          <w:tcPr>
            <w:tcW w:w="1395"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194" w:type="dxa"/>
            </w:tcMar>
          </w:tcPr>
          <w:p w14:paraId="2018B003">
            <w:pPr>
              <w:pStyle w:val="26"/>
              <w:tabs>
                <w:tab w:val="left" w:pos="560"/>
                <w:tab w:val="left" w:pos="1120"/>
              </w:tabs>
              <w:spacing w:line="360" w:lineRule="auto"/>
              <w:ind w:right="140"/>
              <w:jc w:val="both"/>
            </w:pPr>
            <w:r>
              <w:rPr>
                <w:sz w:val="24"/>
                <w:szCs w:val="24"/>
              </w:rPr>
              <w:t>Hostels require either rebuilding (Zik’s Flats) or better service delivery/maintenance (others).</w:t>
            </w:r>
          </w:p>
        </w:tc>
        <w:tc>
          <w:tcPr>
            <w:tcW w:w="2207"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194" w:type="dxa"/>
            </w:tcMar>
          </w:tcPr>
          <w:p w14:paraId="6E25270C">
            <w:pPr>
              <w:pStyle w:val="26"/>
              <w:tabs>
                <w:tab w:val="left" w:pos="560"/>
                <w:tab w:val="left" w:pos="1120"/>
                <w:tab w:val="left" w:pos="1680"/>
              </w:tabs>
              <w:spacing w:line="360" w:lineRule="auto"/>
              <w:ind w:right="140"/>
              <w:jc w:val="both"/>
            </w:pPr>
            <w:r>
              <w:rPr>
                <w:sz w:val="24"/>
                <w:szCs w:val="24"/>
              </w:rPr>
              <w:t>Provide/renovate hostel facilities; manage bed spaces; maintain plumbing, electricity, and sanitation; make contractual payments; transfer after lease.</w:t>
            </w:r>
          </w:p>
        </w:tc>
      </w:tr>
      <w:tr w14:paraId="57EA6175">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434" w:hRule="atLeast"/>
        </w:trPr>
        <w:tc>
          <w:tcPr>
            <w:tcW w:w="1583" w:type="dxa"/>
            <w:tcBorders>
              <w:top w:val="dotted" w:color="919191" w:sz="6" w:space="0"/>
              <w:left w:val="nil"/>
              <w:bottom w:val="dotted" w:color="919191" w:sz="6" w:space="0"/>
              <w:right w:val="single" w:color="919191" w:sz="2" w:space="0"/>
            </w:tcBorders>
            <w:tcMar>
              <w:top w:w="54" w:type="dxa"/>
              <w:left w:w="54" w:type="dxa"/>
              <w:bottom w:w="54" w:type="dxa"/>
              <w:right w:w="194" w:type="dxa"/>
            </w:tcMar>
          </w:tcPr>
          <w:p w14:paraId="224E51AB">
            <w:pPr>
              <w:pStyle w:val="26"/>
              <w:tabs>
                <w:tab w:val="left" w:pos="560"/>
                <w:tab w:val="left" w:pos="1120"/>
              </w:tabs>
              <w:spacing w:line="360" w:lineRule="auto"/>
              <w:ind w:right="140"/>
              <w:jc w:val="both"/>
            </w:pPr>
            <w:r>
              <w:rPr>
                <w:sz w:val="24"/>
                <w:szCs w:val="24"/>
              </w:rPr>
              <w:t>Housing – Staff Accommodation (Nsukka &amp; Enugu)</w:t>
            </w:r>
          </w:p>
        </w:tc>
        <w:tc>
          <w:tcPr>
            <w:tcW w:w="2347"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194" w:type="dxa"/>
            </w:tcMar>
          </w:tcPr>
          <w:p w14:paraId="319FE10B">
            <w:pPr>
              <w:pStyle w:val="26"/>
              <w:tabs>
                <w:tab w:val="left" w:pos="560"/>
                <w:tab w:val="left" w:pos="1120"/>
                <w:tab w:val="left" w:pos="1680"/>
                <w:tab w:val="left" w:pos="2240"/>
              </w:tabs>
              <w:spacing w:line="360" w:lineRule="auto"/>
              <w:ind w:right="140"/>
              <w:jc w:val="both"/>
            </w:pPr>
            <w:r>
              <w:rPr>
                <w:sz w:val="24"/>
                <w:szCs w:val="24"/>
              </w:rPr>
              <w:t>Grossly inadequate housing for both senior and junior staff (units limited; facilities outdated).</w:t>
            </w:r>
          </w:p>
        </w:tc>
        <w:tc>
          <w:tcPr>
            <w:tcW w:w="1825"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194" w:type="dxa"/>
            </w:tcMar>
          </w:tcPr>
          <w:p w14:paraId="5D892741">
            <w:pPr>
              <w:pStyle w:val="26"/>
              <w:tabs>
                <w:tab w:val="left" w:pos="560"/>
                <w:tab w:val="left" w:pos="1120"/>
                <w:tab w:val="left" w:pos="1680"/>
              </w:tabs>
              <w:spacing w:line="360" w:lineRule="auto"/>
              <w:ind w:right="140"/>
              <w:jc w:val="both"/>
            </w:pPr>
            <w:r>
              <w:rPr>
                <w:sz w:val="24"/>
                <w:szCs w:val="24"/>
              </w:rPr>
              <w:t>BOT (20-30 yrs-Negotiable).</w:t>
            </w:r>
          </w:p>
        </w:tc>
        <w:tc>
          <w:tcPr>
            <w:tcW w:w="1395"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194" w:type="dxa"/>
            </w:tcMar>
          </w:tcPr>
          <w:p w14:paraId="71B3D4A8">
            <w:pPr>
              <w:pStyle w:val="26"/>
              <w:tabs>
                <w:tab w:val="left" w:pos="560"/>
                <w:tab w:val="left" w:pos="1120"/>
              </w:tabs>
              <w:spacing w:line="360" w:lineRule="auto"/>
              <w:ind w:right="140"/>
              <w:jc w:val="both"/>
            </w:pPr>
            <w:r>
              <w:rPr>
                <w:sz w:val="24"/>
                <w:szCs w:val="24"/>
              </w:rPr>
              <w:t>Rising staff population, shortage of housing.</w:t>
            </w:r>
          </w:p>
        </w:tc>
        <w:tc>
          <w:tcPr>
            <w:tcW w:w="2207" w:type="dxa"/>
            <w:tcBorders>
              <w:top w:val="dotted" w:color="919191" w:sz="6" w:space="0"/>
              <w:left w:val="single" w:color="919191" w:sz="2" w:space="0"/>
              <w:bottom w:val="dotted" w:color="919191" w:sz="6" w:space="0"/>
              <w:right w:val="nil"/>
            </w:tcBorders>
            <w:tcMar>
              <w:top w:w="54" w:type="dxa"/>
              <w:left w:w="54" w:type="dxa"/>
              <w:bottom w:w="54" w:type="dxa"/>
              <w:right w:w="194" w:type="dxa"/>
            </w:tcMar>
          </w:tcPr>
          <w:p w14:paraId="1AF22E64">
            <w:pPr>
              <w:pStyle w:val="26"/>
              <w:tabs>
                <w:tab w:val="left" w:pos="560"/>
                <w:tab w:val="left" w:pos="1120"/>
                <w:tab w:val="left" w:pos="1680"/>
              </w:tabs>
              <w:spacing w:line="360" w:lineRule="auto"/>
              <w:ind w:right="140"/>
              <w:jc w:val="both"/>
            </w:pPr>
            <w:r>
              <w:rPr>
                <w:sz w:val="24"/>
                <w:szCs w:val="24"/>
              </w:rPr>
              <w:t>Build new categories of housing with utilities; operate/manage for 30 yrs; make contractual payments; eventual transfer.</w:t>
            </w:r>
          </w:p>
        </w:tc>
      </w:tr>
      <w:tr w14:paraId="5DC3B046">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987" w:hRule="atLeast"/>
        </w:trPr>
        <w:tc>
          <w:tcPr>
            <w:tcW w:w="1583" w:type="dxa"/>
            <w:tcBorders>
              <w:top w:val="dotted" w:color="919191" w:sz="6" w:space="0"/>
              <w:left w:val="nil"/>
              <w:bottom w:val="dotted" w:color="919191" w:sz="6" w:space="0"/>
              <w:right w:val="single" w:color="919191" w:sz="2" w:space="0"/>
            </w:tcBorders>
            <w:shd w:val="clear" w:color="auto" w:fill="EEEEEE"/>
            <w:tcMar>
              <w:top w:w="54" w:type="dxa"/>
              <w:left w:w="54" w:type="dxa"/>
              <w:bottom w:w="54" w:type="dxa"/>
              <w:right w:w="194" w:type="dxa"/>
            </w:tcMar>
          </w:tcPr>
          <w:p w14:paraId="55A9A902">
            <w:pPr>
              <w:pStyle w:val="26"/>
              <w:tabs>
                <w:tab w:val="left" w:pos="560"/>
                <w:tab w:val="left" w:pos="1120"/>
              </w:tabs>
              <w:spacing w:line="360" w:lineRule="auto"/>
              <w:ind w:right="140"/>
              <w:jc w:val="both"/>
            </w:pPr>
            <w:r>
              <w:rPr>
                <w:sz w:val="24"/>
                <w:szCs w:val="24"/>
              </w:rPr>
              <w:t>Hospitality (UNGEL Nsukka &amp; Enugu)</w:t>
            </w:r>
          </w:p>
        </w:tc>
        <w:tc>
          <w:tcPr>
            <w:tcW w:w="2347"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194" w:type="dxa"/>
            </w:tcMar>
          </w:tcPr>
          <w:p w14:paraId="68C593F5">
            <w:pPr>
              <w:pStyle w:val="26"/>
              <w:tabs>
                <w:tab w:val="left" w:pos="560"/>
                <w:tab w:val="left" w:pos="1120"/>
                <w:tab w:val="left" w:pos="1680"/>
                <w:tab w:val="left" w:pos="2240"/>
              </w:tabs>
              <w:spacing w:line="360" w:lineRule="auto"/>
              <w:ind w:right="140"/>
              <w:jc w:val="both"/>
            </w:pPr>
            <w:r>
              <w:rPr>
                <w:sz w:val="24"/>
                <w:szCs w:val="24"/>
              </w:rPr>
              <w:t>Guest houses, restaurants, bars, halls, generators, boreholes, laundry; facilities sub-optimal.</w:t>
            </w:r>
          </w:p>
        </w:tc>
        <w:tc>
          <w:tcPr>
            <w:tcW w:w="1825"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194" w:type="dxa"/>
            </w:tcMar>
          </w:tcPr>
          <w:p w14:paraId="7EC9FCDC">
            <w:pPr>
              <w:pStyle w:val="26"/>
              <w:tabs>
                <w:tab w:val="left" w:pos="560"/>
                <w:tab w:val="left" w:pos="1120"/>
                <w:tab w:val="left" w:pos="1680"/>
              </w:tabs>
              <w:spacing w:line="360" w:lineRule="auto"/>
              <w:ind w:right="140"/>
              <w:jc w:val="both"/>
            </w:pPr>
            <w:r>
              <w:rPr>
                <w:sz w:val="24"/>
                <w:szCs w:val="24"/>
              </w:rPr>
              <w:t>Lease (10 yrs renewable).</w:t>
            </w:r>
          </w:p>
        </w:tc>
        <w:tc>
          <w:tcPr>
            <w:tcW w:w="1395"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194" w:type="dxa"/>
            </w:tcMar>
          </w:tcPr>
          <w:p w14:paraId="25F6827A">
            <w:pPr>
              <w:pStyle w:val="26"/>
              <w:tabs>
                <w:tab w:val="left" w:pos="560"/>
                <w:tab w:val="left" w:pos="1120"/>
              </w:tabs>
              <w:spacing w:line="360" w:lineRule="auto"/>
              <w:ind w:right="140"/>
              <w:jc w:val="both"/>
            </w:pPr>
            <w:r>
              <w:rPr>
                <w:sz w:val="24"/>
                <w:szCs w:val="24"/>
              </w:rPr>
              <w:t>Improve service delivery, maintenance, and profitability.</w:t>
            </w:r>
          </w:p>
        </w:tc>
        <w:tc>
          <w:tcPr>
            <w:tcW w:w="2207"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194" w:type="dxa"/>
            </w:tcMar>
          </w:tcPr>
          <w:p w14:paraId="7CF85437">
            <w:pPr>
              <w:pStyle w:val="26"/>
              <w:tabs>
                <w:tab w:val="left" w:pos="560"/>
                <w:tab w:val="left" w:pos="1120"/>
                <w:tab w:val="left" w:pos="1680"/>
              </w:tabs>
              <w:spacing w:line="360" w:lineRule="auto"/>
              <w:ind w:right="140"/>
              <w:jc w:val="both"/>
            </w:pPr>
            <w:r>
              <w:rPr>
                <w:sz w:val="24"/>
                <w:szCs w:val="24"/>
              </w:rPr>
              <w:t>Renovate, repair, maintain utilities; manage hospitality services; ensure sanitation; operate profitably; make lease payments.</w:t>
            </w:r>
          </w:p>
        </w:tc>
      </w:tr>
      <w:tr w14:paraId="4FC2C9EB">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541" w:hRule="atLeast"/>
        </w:trPr>
        <w:tc>
          <w:tcPr>
            <w:tcW w:w="1583" w:type="dxa"/>
            <w:tcBorders>
              <w:top w:val="dotted" w:color="919191" w:sz="6" w:space="0"/>
              <w:left w:val="nil"/>
              <w:bottom w:val="dotted" w:color="919191" w:sz="6" w:space="0"/>
              <w:right w:val="single" w:color="919191" w:sz="2" w:space="0"/>
            </w:tcBorders>
            <w:tcMar>
              <w:top w:w="54" w:type="dxa"/>
              <w:left w:w="54" w:type="dxa"/>
              <w:bottom w:w="54" w:type="dxa"/>
              <w:right w:w="194" w:type="dxa"/>
            </w:tcMar>
          </w:tcPr>
          <w:p w14:paraId="374E55A8">
            <w:pPr>
              <w:pStyle w:val="26"/>
              <w:tabs>
                <w:tab w:val="left" w:pos="560"/>
                <w:tab w:val="left" w:pos="1120"/>
              </w:tabs>
              <w:spacing w:line="360" w:lineRule="auto"/>
              <w:ind w:right="140"/>
              <w:jc w:val="both"/>
            </w:pPr>
            <w:r>
              <w:rPr>
                <w:sz w:val="24"/>
                <w:szCs w:val="24"/>
              </w:rPr>
              <w:t>Hospitality – Presidential Lodge (Nsukka)</w:t>
            </w:r>
          </w:p>
        </w:tc>
        <w:tc>
          <w:tcPr>
            <w:tcW w:w="2347"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194" w:type="dxa"/>
            </w:tcMar>
          </w:tcPr>
          <w:p w14:paraId="5338DAE8">
            <w:pPr>
              <w:pStyle w:val="26"/>
              <w:tabs>
                <w:tab w:val="left" w:pos="560"/>
                <w:tab w:val="left" w:pos="1120"/>
                <w:tab w:val="left" w:pos="1680"/>
                <w:tab w:val="left" w:pos="2240"/>
              </w:tabs>
              <w:spacing w:line="360" w:lineRule="auto"/>
              <w:ind w:right="140"/>
              <w:jc w:val="both"/>
            </w:pPr>
            <w:r>
              <w:rPr>
                <w:sz w:val="24"/>
                <w:szCs w:val="24"/>
              </w:rPr>
              <w:t>25 guest rooms, gym, bar, restaurant, generator; sub-optimal water supply.</w:t>
            </w:r>
          </w:p>
        </w:tc>
        <w:tc>
          <w:tcPr>
            <w:tcW w:w="1825"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194" w:type="dxa"/>
            </w:tcMar>
          </w:tcPr>
          <w:p w14:paraId="4732DE0F">
            <w:pPr>
              <w:pStyle w:val="26"/>
              <w:tabs>
                <w:tab w:val="left" w:pos="560"/>
                <w:tab w:val="left" w:pos="1120"/>
                <w:tab w:val="left" w:pos="1680"/>
              </w:tabs>
              <w:spacing w:line="360" w:lineRule="auto"/>
              <w:ind w:right="140"/>
              <w:jc w:val="both"/>
            </w:pPr>
            <w:r>
              <w:rPr>
                <w:sz w:val="24"/>
                <w:szCs w:val="24"/>
              </w:rPr>
              <w:t>Lease (10 yrs renewable).</w:t>
            </w:r>
          </w:p>
        </w:tc>
        <w:tc>
          <w:tcPr>
            <w:tcW w:w="1395"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194" w:type="dxa"/>
            </w:tcMar>
          </w:tcPr>
          <w:p w14:paraId="057DAEE2">
            <w:pPr>
              <w:pStyle w:val="26"/>
              <w:tabs>
                <w:tab w:val="left" w:pos="560"/>
                <w:tab w:val="left" w:pos="1120"/>
              </w:tabs>
              <w:spacing w:line="360" w:lineRule="auto"/>
              <w:ind w:right="140"/>
              <w:jc w:val="both"/>
            </w:pPr>
            <w:r>
              <w:rPr>
                <w:sz w:val="24"/>
                <w:szCs w:val="24"/>
              </w:rPr>
              <w:t>Enhance service delivery, ensure profitability.</w:t>
            </w:r>
          </w:p>
        </w:tc>
        <w:tc>
          <w:tcPr>
            <w:tcW w:w="2207" w:type="dxa"/>
            <w:tcBorders>
              <w:top w:val="dotted" w:color="919191" w:sz="6" w:space="0"/>
              <w:left w:val="single" w:color="919191" w:sz="2" w:space="0"/>
              <w:bottom w:val="dotted" w:color="919191" w:sz="6" w:space="0"/>
              <w:right w:val="nil"/>
            </w:tcBorders>
            <w:tcMar>
              <w:top w:w="54" w:type="dxa"/>
              <w:left w:w="54" w:type="dxa"/>
              <w:bottom w:w="54" w:type="dxa"/>
              <w:right w:w="194" w:type="dxa"/>
            </w:tcMar>
          </w:tcPr>
          <w:p w14:paraId="41AAC7E1">
            <w:pPr>
              <w:pStyle w:val="26"/>
              <w:tabs>
                <w:tab w:val="left" w:pos="560"/>
                <w:tab w:val="left" w:pos="1120"/>
                <w:tab w:val="left" w:pos="1680"/>
              </w:tabs>
              <w:spacing w:line="360" w:lineRule="auto"/>
              <w:ind w:right="140"/>
              <w:jc w:val="both"/>
            </w:pPr>
            <w:r>
              <w:rPr>
                <w:sz w:val="24"/>
                <w:szCs w:val="24"/>
              </w:rPr>
              <w:t>Renovate/maintain, provide water, sanitation, manage facilities, make lease payments.</w:t>
            </w:r>
          </w:p>
        </w:tc>
      </w:tr>
      <w:tr w14:paraId="1AC7EC51">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434" w:hRule="atLeast"/>
        </w:trPr>
        <w:tc>
          <w:tcPr>
            <w:tcW w:w="1583" w:type="dxa"/>
            <w:tcBorders>
              <w:top w:val="dotted" w:color="919191" w:sz="6" w:space="0"/>
              <w:left w:val="nil"/>
              <w:bottom w:val="dotted" w:color="919191" w:sz="6" w:space="0"/>
              <w:right w:val="single" w:color="919191" w:sz="2" w:space="0"/>
            </w:tcBorders>
            <w:shd w:val="clear" w:color="auto" w:fill="EEEEEE"/>
            <w:tcMar>
              <w:top w:w="54" w:type="dxa"/>
              <w:left w:w="54" w:type="dxa"/>
              <w:bottom w:w="54" w:type="dxa"/>
              <w:right w:w="194" w:type="dxa"/>
            </w:tcMar>
          </w:tcPr>
          <w:p w14:paraId="7EC92BA3">
            <w:pPr>
              <w:pStyle w:val="26"/>
              <w:tabs>
                <w:tab w:val="left" w:pos="560"/>
                <w:tab w:val="left" w:pos="1120"/>
              </w:tabs>
              <w:spacing w:line="360" w:lineRule="auto"/>
              <w:ind w:right="140"/>
              <w:jc w:val="both"/>
            </w:pPr>
            <w:r>
              <w:rPr>
                <w:sz w:val="24"/>
                <w:szCs w:val="24"/>
              </w:rPr>
              <w:t>Hospitality – UNN Liaison Office (Lagos)</w:t>
            </w:r>
          </w:p>
        </w:tc>
        <w:tc>
          <w:tcPr>
            <w:tcW w:w="2347"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194" w:type="dxa"/>
            </w:tcMar>
          </w:tcPr>
          <w:p w14:paraId="069C024E">
            <w:pPr>
              <w:pStyle w:val="26"/>
              <w:tabs>
                <w:tab w:val="left" w:pos="560"/>
                <w:tab w:val="left" w:pos="1120"/>
                <w:tab w:val="left" w:pos="1680"/>
                <w:tab w:val="left" w:pos="2240"/>
              </w:tabs>
              <w:spacing w:line="360" w:lineRule="auto"/>
              <w:ind w:right="140"/>
              <w:jc w:val="both"/>
            </w:pPr>
            <w:r>
              <w:rPr>
                <w:sz w:val="24"/>
                <w:szCs w:val="24"/>
              </w:rPr>
              <w:t>Large land, two one-storey buildings, 11 rooms, two halls; underutilized.</w:t>
            </w:r>
          </w:p>
        </w:tc>
        <w:tc>
          <w:tcPr>
            <w:tcW w:w="1825"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194" w:type="dxa"/>
            </w:tcMar>
          </w:tcPr>
          <w:p w14:paraId="2A112801">
            <w:pPr>
              <w:pStyle w:val="26"/>
              <w:tabs>
                <w:tab w:val="left" w:pos="560"/>
                <w:tab w:val="left" w:pos="1120"/>
                <w:tab w:val="left" w:pos="1680"/>
              </w:tabs>
              <w:spacing w:line="360" w:lineRule="auto"/>
              <w:ind w:right="140"/>
              <w:rPr>
                <w:color w:val="000000" w:themeColor="text1"/>
                <w14:textFill>
                  <w14:solidFill>
                    <w14:schemeClr w14:val="tx1"/>
                  </w14:solidFill>
                </w14:textFill>
              </w:rPr>
            </w:pPr>
            <w:r>
              <w:rPr>
                <w:color w:val="000000" w:themeColor="text1"/>
                <w:sz w:val="24"/>
                <w:szCs w:val="24"/>
                <w14:textFill>
                  <w14:solidFill>
                    <w14:schemeClr w14:val="tx1"/>
                  </w14:solidFill>
                </w14:textFill>
              </w:rPr>
              <w:t>BOT (</w:t>
            </w:r>
            <w:r>
              <w:rPr>
                <w:color w:val="000000" w:themeColor="text1"/>
                <w:sz w:val="24"/>
                <w:szCs w:val="24"/>
                <w:lang w:val="en-GB"/>
                <w14:textFill>
                  <w14:solidFill>
                    <w14:schemeClr w14:val="tx1"/>
                  </w14:solidFill>
                </w14:textFill>
              </w:rPr>
              <w:t>21 years</w:t>
            </w:r>
            <w:r>
              <w:rPr>
                <w:rFonts w:hint="eastAsia"/>
                <w:color w:val="000000" w:themeColor="text1"/>
                <w:sz w:val="24"/>
                <w:szCs w:val="24"/>
                <w:lang w:eastAsia="zh-CN"/>
                <w14:textFill>
                  <w14:solidFill>
                    <w14:schemeClr w14:val="tx1"/>
                  </w14:solidFill>
                </w14:textFill>
              </w:rPr>
              <w:t>;</w:t>
            </w:r>
            <w:r>
              <w:rPr>
                <w:color w:val="000000" w:themeColor="text1"/>
                <w:sz w:val="24"/>
                <w:szCs w:val="24"/>
                <w:lang w:val="en-US" w:eastAsia="zh-CN"/>
                <w14:textFill>
                  <w14:solidFill>
                    <w14:schemeClr w14:val="tx1"/>
                  </w14:solidFill>
                </w14:textFill>
              </w:rPr>
              <w:t xml:space="preserve"> </w:t>
            </w:r>
            <w:r>
              <w:rPr>
                <w:color w:val="000000" w:themeColor="text1"/>
                <w:sz w:val="24"/>
                <w:szCs w:val="24"/>
                <w14:textFill>
                  <w14:solidFill>
                    <w14:schemeClr w14:val="tx1"/>
                  </w14:solidFill>
                </w14:textFill>
              </w:rPr>
              <w:t>negotiable).</w:t>
            </w:r>
          </w:p>
        </w:tc>
        <w:tc>
          <w:tcPr>
            <w:tcW w:w="1395"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194" w:type="dxa"/>
            </w:tcMar>
          </w:tcPr>
          <w:p w14:paraId="6F3874A5">
            <w:pPr>
              <w:pStyle w:val="26"/>
              <w:tabs>
                <w:tab w:val="left" w:pos="560"/>
                <w:tab w:val="left" w:pos="1120"/>
              </w:tabs>
              <w:spacing w:line="360" w:lineRule="auto"/>
              <w:ind w:right="140"/>
              <w:jc w:val="both"/>
            </w:pPr>
            <w:r>
              <w:rPr>
                <w:sz w:val="24"/>
                <w:szCs w:val="24"/>
              </w:rPr>
              <w:t>Potential for transformation into serviced apartments or similar.</w:t>
            </w:r>
          </w:p>
        </w:tc>
        <w:tc>
          <w:tcPr>
            <w:tcW w:w="2207"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194" w:type="dxa"/>
            </w:tcMar>
          </w:tcPr>
          <w:p w14:paraId="63DFC651">
            <w:pPr>
              <w:pStyle w:val="26"/>
              <w:tabs>
                <w:tab w:val="left" w:pos="560"/>
                <w:tab w:val="left" w:pos="1120"/>
                <w:tab w:val="left" w:pos="1680"/>
              </w:tabs>
              <w:spacing w:line="360" w:lineRule="auto"/>
              <w:ind w:right="140"/>
              <w:jc w:val="both"/>
            </w:pPr>
            <w:r>
              <w:rPr>
                <w:sz w:val="24"/>
                <w:szCs w:val="24"/>
              </w:rPr>
              <w:t xml:space="preserve">Redevelop with full facilities; operate/manage </w:t>
            </w:r>
            <w:r>
              <w:rPr>
                <w:color w:val="000000" w:themeColor="text1"/>
                <w:sz w:val="24"/>
                <w:szCs w:val="24"/>
                <w:lang w:val="en-GB"/>
                <w14:textFill>
                  <w14:solidFill>
                    <w14:schemeClr w14:val="tx1"/>
                  </w14:solidFill>
                </w14:textFill>
              </w:rPr>
              <w:t>(21years; negotiable)</w:t>
            </w:r>
            <w:r>
              <w:rPr>
                <w:color w:val="000000" w:themeColor="text1"/>
                <w:sz w:val="24"/>
                <w:szCs w:val="24"/>
                <w14:textFill>
                  <w14:solidFill>
                    <w14:schemeClr w14:val="tx1"/>
                  </w14:solidFill>
                </w14:textFill>
              </w:rPr>
              <w:t>;</w:t>
            </w:r>
            <w:r>
              <w:rPr>
                <w:sz w:val="24"/>
                <w:szCs w:val="24"/>
              </w:rPr>
              <w:t xml:space="preserve"> make contractual payments; transfer after lease.</w:t>
            </w:r>
          </w:p>
        </w:tc>
      </w:tr>
      <w:tr w14:paraId="1C67C07C">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880" w:hRule="atLeast"/>
        </w:trPr>
        <w:tc>
          <w:tcPr>
            <w:tcW w:w="1583" w:type="dxa"/>
            <w:tcBorders>
              <w:top w:val="dotted" w:color="919191" w:sz="6" w:space="0"/>
              <w:left w:val="nil"/>
              <w:bottom w:val="dotted" w:color="919191" w:sz="6" w:space="0"/>
              <w:right w:val="single" w:color="919191" w:sz="2" w:space="0"/>
            </w:tcBorders>
            <w:tcMar>
              <w:top w:w="54" w:type="dxa"/>
              <w:left w:w="54" w:type="dxa"/>
              <w:bottom w:w="54" w:type="dxa"/>
              <w:right w:w="194" w:type="dxa"/>
            </w:tcMar>
          </w:tcPr>
          <w:p w14:paraId="02C19F92">
            <w:pPr>
              <w:pStyle w:val="26"/>
              <w:tabs>
                <w:tab w:val="left" w:pos="560"/>
                <w:tab w:val="left" w:pos="1120"/>
              </w:tabs>
              <w:spacing w:line="360" w:lineRule="auto"/>
              <w:ind w:right="140"/>
              <w:jc w:val="both"/>
            </w:pPr>
            <w:r>
              <w:rPr>
                <w:sz w:val="24"/>
                <w:szCs w:val="24"/>
              </w:rPr>
              <w:t>Agriculture</w:t>
            </w:r>
          </w:p>
        </w:tc>
        <w:tc>
          <w:tcPr>
            <w:tcW w:w="2347"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194" w:type="dxa"/>
            </w:tcMar>
          </w:tcPr>
          <w:p w14:paraId="591343BC">
            <w:pPr>
              <w:pStyle w:val="26"/>
              <w:tabs>
                <w:tab w:val="left" w:pos="560"/>
                <w:tab w:val="left" w:pos="1120"/>
                <w:tab w:val="left" w:pos="1680"/>
                <w:tab w:val="left" w:pos="2240"/>
              </w:tabs>
              <w:spacing w:line="360" w:lineRule="auto"/>
              <w:ind w:right="140"/>
              <w:jc w:val="both"/>
            </w:pPr>
            <w:r>
              <w:rPr>
                <w:sz w:val="24"/>
                <w:szCs w:val="24"/>
              </w:rPr>
              <w:t>Vast arable land, poultry pens, piggery pens, feed mill (vandalized), borehole.</w:t>
            </w:r>
          </w:p>
        </w:tc>
        <w:tc>
          <w:tcPr>
            <w:tcW w:w="1825"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194" w:type="dxa"/>
            </w:tcMar>
          </w:tcPr>
          <w:p w14:paraId="531A56C5">
            <w:pPr>
              <w:pStyle w:val="26"/>
              <w:tabs>
                <w:tab w:val="left" w:pos="560"/>
                <w:tab w:val="left" w:pos="1120"/>
                <w:tab w:val="left" w:pos="1680"/>
              </w:tabs>
              <w:spacing w:line="360" w:lineRule="auto"/>
              <w:ind w:right="140"/>
              <w:jc w:val="both"/>
            </w:pPr>
            <w:r>
              <w:rPr>
                <w:sz w:val="24"/>
                <w:szCs w:val="24"/>
              </w:rPr>
              <w:t>Lease (10 yrs renewable).</w:t>
            </w:r>
          </w:p>
        </w:tc>
        <w:tc>
          <w:tcPr>
            <w:tcW w:w="1395"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194" w:type="dxa"/>
            </w:tcMar>
          </w:tcPr>
          <w:p w14:paraId="347F9B62">
            <w:pPr>
              <w:pStyle w:val="26"/>
              <w:tabs>
                <w:tab w:val="left" w:pos="560"/>
                <w:tab w:val="left" w:pos="1120"/>
              </w:tabs>
              <w:spacing w:line="360" w:lineRule="auto"/>
              <w:ind w:right="140"/>
              <w:jc w:val="both"/>
            </w:pPr>
            <w:r>
              <w:rPr>
                <w:sz w:val="24"/>
                <w:szCs w:val="24"/>
              </w:rPr>
              <w:t>Deploy private expertise and capital for large-scale farming; improve returns.</w:t>
            </w:r>
          </w:p>
        </w:tc>
        <w:tc>
          <w:tcPr>
            <w:tcW w:w="2207" w:type="dxa"/>
            <w:tcBorders>
              <w:top w:val="dotted" w:color="919191" w:sz="6" w:space="0"/>
              <w:left w:val="single" w:color="919191" w:sz="2" w:space="0"/>
              <w:bottom w:val="dotted" w:color="919191" w:sz="6" w:space="0"/>
              <w:right w:val="nil"/>
            </w:tcBorders>
            <w:tcMar>
              <w:top w:w="54" w:type="dxa"/>
              <w:left w:w="54" w:type="dxa"/>
              <w:bottom w:w="54" w:type="dxa"/>
              <w:right w:w="194" w:type="dxa"/>
            </w:tcMar>
          </w:tcPr>
          <w:p w14:paraId="1E78D3F2">
            <w:pPr>
              <w:pStyle w:val="26"/>
              <w:tabs>
                <w:tab w:val="left" w:pos="560"/>
                <w:tab w:val="left" w:pos="1120"/>
                <w:tab w:val="left" w:pos="1680"/>
              </w:tabs>
              <w:spacing w:line="360" w:lineRule="auto"/>
              <w:ind w:right="140"/>
              <w:jc w:val="both"/>
            </w:pPr>
            <w:r>
              <w:rPr>
                <w:sz w:val="24"/>
                <w:szCs w:val="24"/>
              </w:rPr>
              <w:t>Provide capital/investment; manage farms; provide utilities; pay contractual obligations.</w:t>
            </w:r>
          </w:p>
        </w:tc>
      </w:tr>
      <w:tr w14:paraId="5E78464A">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880" w:hRule="atLeast"/>
        </w:trPr>
        <w:tc>
          <w:tcPr>
            <w:tcW w:w="1583" w:type="dxa"/>
            <w:tcBorders>
              <w:top w:val="dotted" w:color="919191" w:sz="6" w:space="0"/>
              <w:left w:val="nil"/>
              <w:bottom w:val="dotted" w:color="919191" w:sz="6" w:space="0"/>
              <w:right w:val="single" w:color="919191" w:sz="2" w:space="0"/>
            </w:tcBorders>
            <w:shd w:val="clear" w:color="auto" w:fill="EEEEEE"/>
            <w:tcMar>
              <w:top w:w="54" w:type="dxa"/>
              <w:left w:w="54" w:type="dxa"/>
              <w:bottom w:w="54" w:type="dxa"/>
              <w:right w:w="194" w:type="dxa"/>
            </w:tcMar>
          </w:tcPr>
          <w:p w14:paraId="53501928">
            <w:pPr>
              <w:pStyle w:val="26"/>
              <w:tabs>
                <w:tab w:val="left" w:pos="560"/>
                <w:tab w:val="left" w:pos="1120"/>
              </w:tabs>
              <w:spacing w:line="360" w:lineRule="auto"/>
              <w:ind w:right="140"/>
              <w:jc w:val="both"/>
            </w:pPr>
            <w:r>
              <w:rPr>
                <w:sz w:val="24"/>
                <w:szCs w:val="24"/>
              </w:rPr>
              <w:t>Health – UNN Medical Centers (Nsukka &amp; Enugu)</w:t>
            </w:r>
          </w:p>
        </w:tc>
        <w:tc>
          <w:tcPr>
            <w:tcW w:w="2347"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194" w:type="dxa"/>
            </w:tcMar>
          </w:tcPr>
          <w:p w14:paraId="42E1F1A4">
            <w:pPr>
              <w:pStyle w:val="26"/>
              <w:tabs>
                <w:tab w:val="left" w:pos="560"/>
                <w:tab w:val="left" w:pos="1120"/>
                <w:tab w:val="left" w:pos="1680"/>
                <w:tab w:val="left" w:pos="2240"/>
              </w:tabs>
              <w:spacing w:line="360" w:lineRule="auto"/>
              <w:ind w:right="140"/>
              <w:jc w:val="both"/>
            </w:pPr>
            <w:r>
              <w:rPr>
                <w:sz w:val="24"/>
                <w:szCs w:val="24"/>
              </w:rPr>
              <w:t>Nsukka (46 beds, OPD, Emergency, Mortuary, Ambulance, generator, sewage); Enugu (20 beds, OPD, Dental, poor water supply). Both sub-optimal.</w:t>
            </w:r>
          </w:p>
        </w:tc>
        <w:tc>
          <w:tcPr>
            <w:tcW w:w="1825"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194" w:type="dxa"/>
            </w:tcMar>
          </w:tcPr>
          <w:p w14:paraId="70FFFFCF">
            <w:pPr>
              <w:pStyle w:val="26"/>
              <w:tabs>
                <w:tab w:val="left" w:pos="560"/>
                <w:tab w:val="left" w:pos="1120"/>
                <w:tab w:val="left" w:pos="1680"/>
              </w:tabs>
              <w:spacing w:line="360" w:lineRule="auto"/>
              <w:ind w:right="140"/>
              <w:jc w:val="both"/>
            </w:pPr>
            <w:r>
              <w:rPr>
                <w:sz w:val="24"/>
                <w:szCs w:val="24"/>
              </w:rPr>
              <w:t>Lease (10 yrs renewable).</w:t>
            </w:r>
          </w:p>
        </w:tc>
        <w:tc>
          <w:tcPr>
            <w:tcW w:w="1395"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194" w:type="dxa"/>
            </w:tcMar>
          </w:tcPr>
          <w:p w14:paraId="2805A33C">
            <w:pPr>
              <w:pStyle w:val="26"/>
              <w:tabs>
                <w:tab w:val="left" w:pos="560"/>
                <w:tab w:val="left" w:pos="1120"/>
              </w:tabs>
              <w:spacing w:line="360" w:lineRule="auto"/>
              <w:ind w:right="140"/>
              <w:jc w:val="both"/>
            </w:pPr>
            <w:r>
              <w:rPr>
                <w:sz w:val="24"/>
                <w:szCs w:val="24"/>
              </w:rPr>
              <w:t>Need world-class healthcare delivery and higher returns.</w:t>
            </w:r>
          </w:p>
        </w:tc>
        <w:tc>
          <w:tcPr>
            <w:tcW w:w="2207"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194" w:type="dxa"/>
            </w:tcMar>
          </w:tcPr>
          <w:p w14:paraId="7B53F203">
            <w:pPr>
              <w:pStyle w:val="26"/>
              <w:tabs>
                <w:tab w:val="left" w:pos="560"/>
                <w:tab w:val="left" w:pos="1120"/>
                <w:tab w:val="left" w:pos="1680"/>
              </w:tabs>
              <w:spacing w:line="360" w:lineRule="auto"/>
              <w:ind w:right="140"/>
              <w:jc w:val="both"/>
            </w:pPr>
            <w:r>
              <w:rPr>
                <w:sz w:val="24"/>
                <w:szCs w:val="24"/>
              </w:rPr>
              <w:t>Invest capital; provide expertise and facilities; operate/manage hospitals; ensure full services; make contractual payments.</w:t>
            </w:r>
          </w:p>
        </w:tc>
      </w:tr>
      <w:tr w14:paraId="5375A527">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49" w:hRule="atLeast"/>
        </w:trPr>
        <w:tc>
          <w:tcPr>
            <w:tcW w:w="1583" w:type="dxa"/>
            <w:tcBorders>
              <w:top w:val="dotted" w:color="919191" w:sz="6" w:space="0"/>
              <w:left w:val="nil"/>
              <w:bottom w:val="nil"/>
              <w:right w:val="single" w:color="919191" w:sz="2" w:space="0"/>
            </w:tcBorders>
            <w:tcMar>
              <w:top w:w="54" w:type="dxa"/>
              <w:left w:w="54" w:type="dxa"/>
              <w:bottom w:w="54" w:type="dxa"/>
              <w:right w:w="194" w:type="dxa"/>
            </w:tcMar>
          </w:tcPr>
          <w:p w14:paraId="472D5F9F"/>
        </w:tc>
        <w:tc>
          <w:tcPr>
            <w:tcW w:w="2347" w:type="dxa"/>
            <w:tcBorders>
              <w:top w:val="dotted" w:color="919191" w:sz="6" w:space="0"/>
              <w:left w:val="single" w:color="919191" w:sz="2" w:space="0"/>
              <w:bottom w:val="nil"/>
              <w:right w:val="single" w:color="919191" w:sz="2" w:space="0"/>
            </w:tcBorders>
            <w:tcMar>
              <w:top w:w="54" w:type="dxa"/>
              <w:left w:w="54" w:type="dxa"/>
              <w:bottom w:w="54" w:type="dxa"/>
              <w:right w:w="194" w:type="dxa"/>
            </w:tcMar>
          </w:tcPr>
          <w:p w14:paraId="32BA2F54"/>
        </w:tc>
        <w:tc>
          <w:tcPr>
            <w:tcW w:w="1825" w:type="dxa"/>
            <w:tcBorders>
              <w:top w:val="dotted" w:color="919191" w:sz="6" w:space="0"/>
              <w:left w:val="single" w:color="919191" w:sz="2" w:space="0"/>
              <w:bottom w:val="nil"/>
              <w:right w:val="single" w:color="919191" w:sz="2" w:space="0"/>
            </w:tcBorders>
            <w:tcMar>
              <w:top w:w="80" w:type="dxa"/>
              <w:left w:w="80" w:type="dxa"/>
              <w:bottom w:w="80" w:type="dxa"/>
              <w:right w:w="80" w:type="dxa"/>
            </w:tcMar>
          </w:tcPr>
          <w:p w14:paraId="2BB677D1"/>
        </w:tc>
        <w:tc>
          <w:tcPr>
            <w:tcW w:w="1395" w:type="dxa"/>
            <w:tcBorders>
              <w:top w:val="dotted" w:color="919191" w:sz="6" w:space="0"/>
              <w:left w:val="single" w:color="919191" w:sz="2" w:space="0"/>
              <w:bottom w:val="nil"/>
              <w:right w:val="single" w:color="919191" w:sz="2" w:space="0"/>
            </w:tcBorders>
            <w:tcMar>
              <w:top w:w="80" w:type="dxa"/>
              <w:left w:w="80" w:type="dxa"/>
              <w:bottom w:w="80" w:type="dxa"/>
              <w:right w:w="80" w:type="dxa"/>
            </w:tcMar>
          </w:tcPr>
          <w:p w14:paraId="121F5FA6"/>
        </w:tc>
        <w:tc>
          <w:tcPr>
            <w:tcW w:w="2207" w:type="dxa"/>
            <w:tcBorders>
              <w:top w:val="dotted" w:color="919191" w:sz="6" w:space="0"/>
              <w:left w:val="single" w:color="919191" w:sz="2" w:space="0"/>
              <w:bottom w:val="nil"/>
              <w:right w:val="nil"/>
            </w:tcBorders>
            <w:tcMar>
              <w:top w:w="80" w:type="dxa"/>
              <w:left w:w="80" w:type="dxa"/>
              <w:bottom w:w="80" w:type="dxa"/>
              <w:right w:w="80" w:type="dxa"/>
            </w:tcMar>
          </w:tcPr>
          <w:p w14:paraId="58A52B29"/>
        </w:tc>
      </w:tr>
    </w:tbl>
    <w:p w14:paraId="634D9A2A">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tbl>
      <w:tblPr>
        <w:tblStyle w:val="6"/>
        <w:tblW w:w="9360" w:type="dxa"/>
        <w:tblInd w:w="108" w:type="dxa"/>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Layout w:type="fixed"/>
        <w:tblCellMar>
          <w:top w:w="0" w:type="dxa"/>
          <w:left w:w="108" w:type="dxa"/>
          <w:bottom w:w="0" w:type="dxa"/>
          <w:right w:w="108" w:type="dxa"/>
        </w:tblCellMar>
      </w:tblPr>
      <w:tblGrid>
        <w:gridCol w:w="2428"/>
        <w:gridCol w:w="6932"/>
      </w:tblGrid>
      <w:tr w14:paraId="5B8402B6">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419" w:hRule="atLeast"/>
        </w:trPr>
        <w:tc>
          <w:tcPr>
            <w:tcW w:w="2428" w:type="dxa"/>
            <w:tcBorders>
              <w:top w:val="nil"/>
              <w:left w:val="nil"/>
              <w:bottom w:val="nil"/>
              <w:right w:val="single" w:color="919191" w:sz="2" w:space="0"/>
            </w:tcBorders>
            <w:tcMar>
              <w:top w:w="54" w:type="dxa"/>
              <w:left w:w="54" w:type="dxa"/>
              <w:bottom w:w="54" w:type="dxa"/>
              <w:right w:w="194" w:type="dxa"/>
            </w:tcMar>
          </w:tcPr>
          <w:p w14:paraId="332024A9">
            <w:pPr>
              <w:pStyle w:val="26"/>
              <w:tabs>
                <w:tab w:val="left" w:pos="560"/>
                <w:tab w:val="left" w:pos="1120"/>
                <w:tab w:val="left" w:pos="1680"/>
                <w:tab w:val="left" w:pos="2240"/>
              </w:tabs>
              <w:spacing w:line="360" w:lineRule="auto"/>
              <w:ind w:right="140"/>
              <w:jc w:val="both"/>
            </w:pPr>
            <w:r>
              <w:rPr>
                <w:sz w:val="24"/>
                <w:szCs w:val="24"/>
              </w:rPr>
              <w:t>Research Commercialisation</w:t>
            </w:r>
          </w:p>
        </w:tc>
        <w:tc>
          <w:tcPr>
            <w:tcW w:w="6931" w:type="dxa"/>
            <w:tcBorders>
              <w:top w:val="nil"/>
              <w:left w:val="single" w:color="919191" w:sz="2" w:space="0"/>
              <w:bottom w:val="nil"/>
              <w:right w:val="nil"/>
            </w:tcBorders>
            <w:tcMar>
              <w:top w:w="54" w:type="dxa"/>
              <w:left w:w="54" w:type="dxa"/>
              <w:bottom w:w="54" w:type="dxa"/>
              <w:right w:w="194" w:type="dxa"/>
            </w:tcMar>
          </w:tcPr>
          <w:p w14:paraId="732B3458">
            <w:pPr>
              <w:pStyle w:val="2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140"/>
              <w:jc w:val="both"/>
            </w:pPr>
            <w:r>
              <w:rPr>
                <w:sz w:val="24"/>
                <w:szCs w:val="24"/>
              </w:rPr>
              <w:t>The PPP activities under this sector seek to interface between all the research units of the university and private sector entities that would pay for the findings/patents and proceed to commercialize the research outputs. This will make most of the PhD reports to move from university shelves to the market place. Further, future research proposals will begin to attract private sector funding interested in the commercialisation of the findings.</w:t>
            </w:r>
          </w:p>
        </w:tc>
      </w:tr>
    </w:tbl>
    <w:p w14:paraId="7268EBC9">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3E2A7EE6">
      <w:pPr>
        <w:pStyle w:val="24"/>
      </w:pPr>
    </w:p>
    <w:p w14:paraId="7F530136">
      <w:pPr>
        <w:pStyle w:val="24"/>
      </w:pPr>
    </w:p>
    <w:p w14:paraId="2E6275A5">
      <w:pPr>
        <w:pStyle w:val="24"/>
      </w:pPr>
    </w:p>
    <w:p w14:paraId="12480C8B">
      <w:pPr>
        <w:pStyle w:val="3"/>
      </w:pPr>
    </w:p>
    <w:p w14:paraId="7115DC8D">
      <w:pPr>
        <w:pStyle w:val="3"/>
      </w:pPr>
    </w:p>
    <w:p w14:paraId="6EBB05EE">
      <w:pPr>
        <w:pStyle w:val="3"/>
      </w:pPr>
    </w:p>
    <w:p w14:paraId="17DF6D48">
      <w:pPr>
        <w:pStyle w:val="3"/>
      </w:pPr>
    </w:p>
    <w:p w14:paraId="71701355">
      <w:pPr>
        <w:pStyle w:val="3"/>
      </w:pPr>
    </w:p>
    <w:p w14:paraId="73A29C36">
      <w:pPr>
        <w:pStyle w:val="3"/>
      </w:pPr>
    </w:p>
    <w:p w14:paraId="404FB8E1">
      <w:pPr>
        <w:pStyle w:val="3"/>
      </w:pPr>
    </w:p>
    <w:p w14:paraId="4D7473EB">
      <w:pPr>
        <w:pStyle w:val="3"/>
      </w:pPr>
    </w:p>
    <w:p w14:paraId="078FD298">
      <w:pPr>
        <w:pStyle w:val="3"/>
      </w:pPr>
    </w:p>
    <w:p w14:paraId="338ECAFD">
      <w:pPr>
        <w:pStyle w:val="22"/>
      </w:pPr>
    </w:p>
    <w:p w14:paraId="080E277A">
      <w:pPr>
        <w:pStyle w:val="24"/>
        <w:rPr>
          <w:rFonts w:ascii="Helvetica Neue" w:hAnsi="Helvetica Neue" w:eastAsia="Helvetica Neue" w:cs="Helvetica Neue"/>
          <w:b/>
          <w:bCs/>
          <w:color w:val="000000"/>
        </w:rPr>
      </w:pPr>
      <w:bookmarkStart w:id="68" w:name="_Toc67"/>
      <w:r>
        <w:rPr>
          <w:rFonts w:ascii="Helvetica Neue" w:hAnsi="Helvetica Neue"/>
          <w:b/>
          <w:bCs/>
          <w:color w:val="000000"/>
          <w:lang w:val="en-US"/>
        </w:rPr>
        <w:t>9.0. Risk management and value for money</w:t>
      </w:r>
      <w:bookmarkEnd w:id="68"/>
    </w:p>
    <w:p w14:paraId="220D2573">
      <w:pPr>
        <w:pStyle w:val="24"/>
      </w:pPr>
    </w:p>
    <w:p w14:paraId="6D62741B">
      <w:pPr>
        <w:pStyle w:val="3"/>
        <w:spacing w:line="360" w:lineRule="auto"/>
        <w:jc w:val="both"/>
        <w:rPr>
          <w:sz w:val="24"/>
          <w:szCs w:val="24"/>
        </w:rPr>
      </w:pPr>
      <w:r>
        <w:rPr>
          <w:sz w:val="24"/>
          <w:szCs w:val="24"/>
          <w:lang w:val="en-US"/>
        </w:rPr>
        <w:t>Achieving the value for money  that   justifies the PPP option also depends on the ability to identify, analyse and allocate project risks adequately. Failure to do so will have financial implications. Thus, at the project identification stage, in addition to assessing the sources of revenue linked with the affordability of the project, the UNN PPP UNIT and its advisers shall undertake abroad assessment of the risks that arise from the project requirements in order to manage them. This shall be an ongoing process which shall continue throughout the life of a PPP project. It shall take place in five stages:</w:t>
      </w:r>
    </w:p>
    <w:p w14:paraId="750D2D03">
      <w:pPr>
        <w:pStyle w:val="3"/>
        <w:spacing w:line="360" w:lineRule="auto"/>
        <w:ind w:left="864"/>
        <w:jc w:val="both"/>
        <w:rPr>
          <w:rFonts w:ascii="Helvetica Neue" w:hAnsi="Helvetica Neue" w:eastAsia="Helvetica Neue" w:cs="Helvetica Neue"/>
          <w:b/>
          <w:bCs/>
          <w:i/>
          <w:iCs/>
          <w:sz w:val="24"/>
          <w:szCs w:val="24"/>
        </w:rPr>
      </w:pPr>
      <w:r>
        <w:rPr>
          <w:rFonts w:ascii="Helvetica Neue" w:hAnsi="Helvetica Neue"/>
          <w:b/>
          <w:bCs/>
          <w:i/>
          <w:iCs/>
          <w:sz w:val="24"/>
          <w:szCs w:val="24"/>
          <w:lang w:val="en-US"/>
        </w:rPr>
        <w:t>Risk Identification</w:t>
      </w:r>
    </w:p>
    <w:p w14:paraId="1584BA03">
      <w:pPr>
        <w:pStyle w:val="3"/>
        <w:spacing w:line="360" w:lineRule="auto"/>
        <w:ind w:left="864"/>
        <w:jc w:val="both"/>
        <w:rPr>
          <w:sz w:val="24"/>
          <w:szCs w:val="24"/>
        </w:rPr>
      </w:pPr>
      <w:r>
        <w:rPr>
          <w:sz w:val="24"/>
          <w:szCs w:val="24"/>
          <w:lang w:val="en-US"/>
        </w:rPr>
        <w:t>The process of identifying all the risks relevant to the project, whether during its construction phase or its operational phase;</w:t>
      </w:r>
    </w:p>
    <w:p w14:paraId="1FE0CA8D">
      <w:pPr>
        <w:pStyle w:val="3"/>
        <w:spacing w:line="360" w:lineRule="auto"/>
        <w:ind w:left="864"/>
        <w:jc w:val="both"/>
        <w:rPr>
          <w:rFonts w:ascii="Helvetica Neue" w:hAnsi="Helvetica Neue" w:eastAsia="Helvetica Neue" w:cs="Helvetica Neue"/>
          <w:b/>
          <w:bCs/>
          <w:i/>
          <w:iCs/>
          <w:sz w:val="24"/>
          <w:szCs w:val="24"/>
        </w:rPr>
      </w:pPr>
      <w:r>
        <w:rPr>
          <w:rFonts w:ascii="Helvetica Neue" w:hAnsi="Helvetica Neue"/>
          <w:b/>
          <w:bCs/>
          <w:i/>
          <w:iCs/>
          <w:sz w:val="24"/>
          <w:szCs w:val="24"/>
          <w:lang w:val="en-US"/>
        </w:rPr>
        <w:t>Risk Assessment</w:t>
      </w:r>
    </w:p>
    <w:p w14:paraId="0DC74550">
      <w:pPr>
        <w:pStyle w:val="3"/>
        <w:spacing w:line="360" w:lineRule="auto"/>
        <w:ind w:left="864"/>
        <w:jc w:val="both"/>
        <w:rPr>
          <w:sz w:val="24"/>
          <w:szCs w:val="24"/>
        </w:rPr>
      </w:pPr>
      <w:r>
        <w:rPr>
          <w:sz w:val="24"/>
          <w:szCs w:val="24"/>
          <w:lang w:val="en-US"/>
        </w:rPr>
        <w:t>Determining the likelihood of identified risks materialising and the magnitude of their consequences if they do occur;</w:t>
      </w:r>
    </w:p>
    <w:p w14:paraId="30BAC97B">
      <w:pPr>
        <w:pStyle w:val="3"/>
        <w:spacing w:line="360" w:lineRule="auto"/>
        <w:ind w:left="864"/>
        <w:jc w:val="both"/>
        <w:rPr>
          <w:rFonts w:ascii="Helvetica Neue" w:hAnsi="Helvetica Neue" w:eastAsia="Helvetica Neue" w:cs="Helvetica Neue"/>
          <w:b/>
          <w:bCs/>
          <w:i/>
          <w:iCs/>
          <w:sz w:val="24"/>
          <w:szCs w:val="24"/>
        </w:rPr>
      </w:pPr>
      <w:r>
        <w:rPr>
          <w:rFonts w:ascii="Helvetica Neue" w:hAnsi="Helvetica Neue"/>
          <w:b/>
          <w:bCs/>
          <w:i/>
          <w:iCs/>
          <w:sz w:val="24"/>
          <w:szCs w:val="24"/>
          <w:lang w:val="it-IT"/>
        </w:rPr>
        <w:t>Risk Allocation</w:t>
      </w:r>
    </w:p>
    <w:p w14:paraId="08D04F1A">
      <w:pPr>
        <w:pStyle w:val="3"/>
        <w:spacing w:line="360" w:lineRule="auto"/>
        <w:ind w:left="864"/>
        <w:jc w:val="both"/>
        <w:rPr>
          <w:sz w:val="24"/>
          <w:szCs w:val="24"/>
        </w:rPr>
      </w:pPr>
      <w:r>
        <w:rPr>
          <w:sz w:val="24"/>
          <w:szCs w:val="24"/>
          <w:lang w:val="en-US"/>
        </w:rPr>
        <w:t>Allocating responsibility for dealing with the consequences of each risk to one of the parties to the PPP contract, or agreeing to deal with the risk through a specified mechanism which may involve sharing the risk;</w:t>
      </w:r>
    </w:p>
    <w:p w14:paraId="3A773CA3">
      <w:pPr>
        <w:pStyle w:val="3"/>
        <w:spacing w:line="360" w:lineRule="auto"/>
        <w:ind w:left="864"/>
        <w:jc w:val="both"/>
        <w:rPr>
          <w:rFonts w:ascii="Helvetica Neue" w:hAnsi="Helvetica Neue" w:eastAsia="Helvetica Neue" w:cs="Helvetica Neue"/>
          <w:b/>
          <w:bCs/>
          <w:i/>
          <w:iCs/>
          <w:sz w:val="24"/>
          <w:szCs w:val="24"/>
        </w:rPr>
      </w:pPr>
      <w:r>
        <w:rPr>
          <w:rFonts w:ascii="Helvetica Neue" w:hAnsi="Helvetica Neue"/>
          <w:b/>
          <w:bCs/>
          <w:i/>
          <w:iCs/>
          <w:sz w:val="24"/>
          <w:szCs w:val="24"/>
          <w:lang w:val="en-US"/>
        </w:rPr>
        <w:t>Risk Mitigation</w:t>
      </w:r>
    </w:p>
    <w:p w14:paraId="0B5E08CB">
      <w:pPr>
        <w:pStyle w:val="3"/>
        <w:spacing w:line="360" w:lineRule="auto"/>
        <w:ind w:left="864"/>
        <w:jc w:val="both"/>
        <w:rPr>
          <w:sz w:val="24"/>
          <w:szCs w:val="24"/>
        </w:rPr>
      </w:pPr>
      <w:r>
        <w:rPr>
          <w:sz w:val="24"/>
          <w:szCs w:val="24"/>
          <w:lang w:val="en-US"/>
        </w:rPr>
        <w:t>Attempting to reduce the likelihood of the risk occurring and the degree of its consequences for the risk-taker, and;</w:t>
      </w:r>
    </w:p>
    <w:p w14:paraId="3184037A">
      <w:pPr>
        <w:pStyle w:val="3"/>
        <w:spacing w:line="360" w:lineRule="auto"/>
        <w:ind w:left="864"/>
        <w:jc w:val="both"/>
        <w:rPr>
          <w:rFonts w:ascii="Helvetica Neue" w:hAnsi="Helvetica Neue" w:eastAsia="Helvetica Neue" w:cs="Helvetica Neue"/>
          <w:b/>
          <w:bCs/>
          <w:i/>
          <w:iCs/>
          <w:sz w:val="24"/>
          <w:szCs w:val="24"/>
        </w:rPr>
      </w:pPr>
      <w:r>
        <w:rPr>
          <w:rFonts w:ascii="Helvetica Neue" w:hAnsi="Helvetica Neue"/>
          <w:b/>
          <w:bCs/>
          <w:i/>
          <w:iCs/>
          <w:sz w:val="24"/>
          <w:szCs w:val="24"/>
          <w:lang w:val="en-US"/>
        </w:rPr>
        <w:t>Risk Monitoring and Review</w:t>
      </w:r>
    </w:p>
    <w:p w14:paraId="30862DD9">
      <w:pPr>
        <w:pStyle w:val="3"/>
        <w:spacing w:line="360" w:lineRule="auto"/>
        <w:ind w:left="864"/>
        <w:jc w:val="both"/>
        <w:rPr>
          <w:sz w:val="24"/>
          <w:szCs w:val="24"/>
        </w:rPr>
      </w:pPr>
      <w:r>
        <w:rPr>
          <w:sz w:val="24"/>
          <w:szCs w:val="24"/>
          <w:lang w:val="en-US"/>
        </w:rPr>
        <w:t>Monitoring and reviewing identified risks and new risks as the PPP project develops and its environment changes. This process shall continue during the life of the PPP contract.</w:t>
      </w:r>
    </w:p>
    <w:p w14:paraId="26999F19">
      <w:pPr>
        <w:pStyle w:val="2"/>
        <w:rPr>
          <w:color w:val="000000"/>
          <w:sz w:val="24"/>
          <w:szCs w:val="24"/>
        </w:rPr>
      </w:pPr>
    </w:p>
    <w:p w14:paraId="6E793D93">
      <w:pPr>
        <w:pStyle w:val="2"/>
        <w:rPr>
          <w:color w:val="000000"/>
          <w:sz w:val="24"/>
          <w:szCs w:val="24"/>
        </w:rPr>
      </w:pPr>
      <w:bookmarkStart w:id="69" w:name="_Toc68"/>
      <w:r>
        <w:rPr>
          <w:color w:val="000000"/>
          <w:sz w:val="24"/>
          <w:szCs w:val="24"/>
          <w:lang w:val="en-US"/>
        </w:rPr>
        <w:t xml:space="preserve">9.1. Risk division </w:t>
      </w:r>
      <w:bookmarkEnd w:id="69"/>
    </w:p>
    <w:p w14:paraId="3C3C12C9">
      <w:pPr>
        <w:pStyle w:val="3"/>
        <w:spacing w:line="360" w:lineRule="auto"/>
        <w:rPr>
          <w:sz w:val="24"/>
          <w:szCs w:val="24"/>
        </w:rPr>
      </w:pPr>
      <w:r>
        <w:rPr>
          <w:sz w:val="24"/>
          <w:szCs w:val="24"/>
          <w:lang w:val="en-US"/>
        </w:rPr>
        <w:t>PPP project risks shall be divided broadly into commercial risks and legal and political risks:</w:t>
      </w:r>
    </w:p>
    <w:p w14:paraId="67A96F86">
      <w:pPr>
        <w:pStyle w:val="3"/>
        <w:ind w:left="864"/>
        <w:jc w:val="both"/>
        <w:rPr>
          <w:rFonts w:ascii="Helvetica Neue" w:hAnsi="Helvetica Neue" w:eastAsia="Helvetica Neue" w:cs="Helvetica Neue"/>
          <w:b/>
          <w:bCs/>
          <w:i/>
          <w:iCs/>
          <w:sz w:val="24"/>
          <w:szCs w:val="24"/>
        </w:rPr>
      </w:pPr>
      <w:r>
        <w:rPr>
          <w:rFonts w:ascii="Helvetica Neue" w:hAnsi="Helvetica Neue"/>
          <w:b/>
          <w:bCs/>
          <w:i/>
          <w:iCs/>
          <w:sz w:val="24"/>
          <w:szCs w:val="24"/>
          <w:lang w:val="it-IT"/>
        </w:rPr>
        <w:t>Commercial Risk</w:t>
      </w:r>
    </w:p>
    <w:p w14:paraId="6A2864F5">
      <w:pPr>
        <w:pStyle w:val="3"/>
        <w:spacing w:line="360" w:lineRule="auto"/>
        <w:ind w:left="864"/>
        <w:jc w:val="both"/>
        <w:rPr>
          <w:sz w:val="24"/>
          <w:szCs w:val="24"/>
        </w:rPr>
      </w:pPr>
      <w:r>
        <w:rPr>
          <w:sz w:val="24"/>
          <w:szCs w:val="24"/>
          <w:lang w:val="en-US"/>
        </w:rPr>
        <w:t>The is divided into supply and demand risks. Supply risk concerns mainly the ability of the PPP Company to deliver. Supply risk is subdivided into construction risk and supply-side operation risk (where construction and operation constitute the two phases of the project). Construction and supply-side operation risks include financial market risk due to, for example, changes in the cost of capital or changes in exchange rates and inflation. Demand risk relates to insufficient user volumes compared to base case assumptions.</w:t>
      </w:r>
    </w:p>
    <w:p w14:paraId="2AB5FFD2">
      <w:pPr>
        <w:pStyle w:val="3"/>
        <w:spacing w:line="360" w:lineRule="auto"/>
        <w:ind w:left="864"/>
        <w:jc w:val="both"/>
        <w:rPr>
          <w:rFonts w:ascii="Helvetica Neue" w:hAnsi="Helvetica Neue" w:eastAsia="Helvetica Neue" w:cs="Helvetica Neue"/>
          <w:b/>
          <w:bCs/>
          <w:i/>
          <w:iCs/>
          <w:sz w:val="24"/>
          <w:szCs w:val="24"/>
        </w:rPr>
      </w:pPr>
      <w:r>
        <w:rPr>
          <w:rFonts w:ascii="Helvetica Neue" w:hAnsi="Helvetica Neue"/>
          <w:b/>
          <w:bCs/>
          <w:i/>
          <w:iCs/>
          <w:sz w:val="24"/>
          <w:szCs w:val="24"/>
          <w:lang w:val="en-US"/>
        </w:rPr>
        <w:t>Legal and Political Risks</w:t>
      </w:r>
    </w:p>
    <w:p w14:paraId="2323D596">
      <w:pPr>
        <w:pStyle w:val="3"/>
        <w:spacing w:line="360" w:lineRule="auto"/>
        <w:ind w:left="864"/>
        <w:jc w:val="both"/>
        <w:rPr>
          <w:sz w:val="24"/>
          <w:szCs w:val="24"/>
        </w:rPr>
      </w:pPr>
      <w:r>
        <w:rPr>
          <w:sz w:val="24"/>
          <w:szCs w:val="24"/>
          <w:lang w:val="en-US"/>
        </w:rPr>
        <w:t>This relate to, among other factors, the legal framework, conflict resolution, the regulatory framework, government policy, taxation, expropriation and nationalisation.</w:t>
      </w:r>
    </w:p>
    <w:p w14:paraId="30C59B1C">
      <w:pPr>
        <w:pStyle w:val="3"/>
      </w:pPr>
    </w:p>
    <w:p w14:paraId="27DC3CD1">
      <w:pPr>
        <w:pStyle w:val="2"/>
        <w:spacing w:line="360" w:lineRule="auto"/>
        <w:rPr>
          <w:color w:val="000000"/>
          <w:sz w:val="24"/>
          <w:szCs w:val="24"/>
        </w:rPr>
      </w:pPr>
      <w:bookmarkStart w:id="70" w:name="_Toc69"/>
      <w:r>
        <w:rPr>
          <w:color w:val="000000"/>
          <w:sz w:val="24"/>
          <w:szCs w:val="24"/>
          <w:lang w:val="en-US"/>
        </w:rPr>
        <w:t>9.2 Value for Money</w:t>
      </w:r>
      <w:bookmarkEnd w:id="70"/>
    </w:p>
    <w:p w14:paraId="4715E7E1">
      <w:pPr>
        <w:pStyle w:val="4"/>
        <w:spacing w:line="360" w:lineRule="auto"/>
      </w:pPr>
      <w:bookmarkStart w:id="71" w:name="_Toc70"/>
      <w:r>
        <w:tab/>
      </w:r>
      <w:r>
        <w:rPr>
          <w:lang w:val="it-IT"/>
        </w:rPr>
        <w:t>9.2.1</w:t>
      </w:r>
      <w:r>
        <w:rPr>
          <w:lang w:val="it-IT"/>
        </w:rPr>
        <w:tab/>
      </w:r>
      <w:r>
        <w:rPr>
          <w:lang w:val="it-IT"/>
        </w:rPr>
        <w:t>Applicability</w:t>
      </w:r>
      <w:bookmarkEnd w:id="71"/>
    </w:p>
    <w:p w14:paraId="2E6D874B">
      <w:pPr>
        <w:pStyle w:val="3"/>
        <w:spacing w:line="360" w:lineRule="auto"/>
        <w:jc w:val="both"/>
        <w:rPr>
          <w:sz w:val="24"/>
          <w:szCs w:val="24"/>
          <w:lang w:val="en-US"/>
        </w:rPr>
      </w:pPr>
      <w:r>
        <w:rPr>
          <w:sz w:val="24"/>
          <w:szCs w:val="24"/>
          <w:lang w:val="en-US"/>
        </w:rPr>
        <w:t xml:space="preserve">The UNN PPP </w:t>
      </w:r>
      <w:r>
        <w:rPr>
          <w:sz w:val="24"/>
          <w:szCs w:val="24"/>
        </w:rPr>
        <w:t>UNIT</w:t>
      </w:r>
      <w:r>
        <w:rPr>
          <w:sz w:val="24"/>
          <w:szCs w:val="24"/>
          <w:lang w:val="en-US"/>
        </w:rPr>
        <w:t xml:space="preserve"> shall conduct VfM analysis on their </w:t>
      </w:r>
      <w:r>
        <w:rPr>
          <w:sz w:val="24"/>
          <w:szCs w:val="24"/>
        </w:rPr>
        <w:t>PPP</w:t>
      </w:r>
      <w:r>
        <w:rPr>
          <w:sz w:val="24"/>
          <w:szCs w:val="24"/>
          <w:lang w:val="en-US"/>
        </w:rPr>
        <w:t xml:space="preserve"> projects as an integral part of their feasibility assessment. VfM analysis shall be applied to PPP projects at the project development stage to determine the appropriateness of undertaking them as PPPs and for assessing whether they provide better VfM in comparison to the traditional university/public procurement option.</w:t>
      </w:r>
    </w:p>
    <w:p w14:paraId="3AEC18F2">
      <w:pPr>
        <w:pStyle w:val="3"/>
        <w:spacing w:line="360" w:lineRule="auto"/>
        <w:jc w:val="both"/>
        <w:rPr>
          <w:sz w:val="24"/>
          <w:szCs w:val="24"/>
          <w:lang w:val="en-US"/>
        </w:rPr>
      </w:pPr>
    </w:p>
    <w:p w14:paraId="0E85C772">
      <w:pPr>
        <w:pStyle w:val="3"/>
        <w:spacing w:line="360" w:lineRule="auto"/>
        <w:jc w:val="both"/>
        <w:rPr>
          <w:sz w:val="24"/>
          <w:szCs w:val="24"/>
          <w:lang w:val="en-US"/>
        </w:rPr>
      </w:pPr>
    </w:p>
    <w:p w14:paraId="3D41177D">
      <w:pPr>
        <w:pStyle w:val="3"/>
        <w:spacing w:line="360" w:lineRule="auto"/>
        <w:jc w:val="both"/>
        <w:rPr>
          <w:sz w:val="24"/>
          <w:szCs w:val="24"/>
        </w:rPr>
      </w:pPr>
    </w:p>
    <w:p w14:paraId="052EDD4C">
      <w:pPr>
        <w:pStyle w:val="2"/>
        <w:spacing w:line="360" w:lineRule="auto"/>
        <w:rPr>
          <w:color w:val="000000"/>
          <w:sz w:val="24"/>
          <w:szCs w:val="24"/>
        </w:rPr>
      </w:pPr>
      <w:bookmarkStart w:id="72" w:name="_Toc71"/>
      <w:r>
        <w:rPr>
          <w:color w:val="000000"/>
          <w:sz w:val="24"/>
          <w:szCs w:val="24"/>
        </w:rPr>
        <w:t>9.2.2</w:t>
      </w:r>
      <w:r>
        <w:rPr>
          <w:color w:val="000000"/>
          <w:sz w:val="24"/>
          <w:szCs w:val="24"/>
        </w:rPr>
        <w:tab/>
      </w:r>
      <w:r>
        <w:rPr>
          <w:color w:val="000000"/>
          <w:sz w:val="24"/>
          <w:szCs w:val="24"/>
        </w:rPr>
        <w:t>General Principles</w:t>
      </w:r>
      <w:bookmarkEnd w:id="72"/>
    </w:p>
    <w:p w14:paraId="71EC59A3">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1337C8CA">
      <w:pPr>
        <w:pStyle w:val="3"/>
        <w:numPr>
          <w:ilvl w:val="1"/>
          <w:numId w:val="69"/>
        </w:numPr>
        <w:spacing w:line="360" w:lineRule="auto"/>
        <w:jc w:val="both"/>
        <w:rPr>
          <w:sz w:val="24"/>
          <w:szCs w:val="24"/>
          <w:lang w:val="en-US"/>
        </w:rPr>
      </w:pPr>
      <w:r>
        <w:rPr>
          <w:sz w:val="24"/>
          <w:szCs w:val="24"/>
          <w:lang w:val="en-US"/>
        </w:rPr>
        <w:t xml:space="preserve">VfM analysis of PPP projects shall determine the procurement approach that provides the maximum benefit for the University, which includes benefits from private sector innovation, financing, efficiencies in construction and operations, and project risk </w:t>
      </w:r>
      <w:r>
        <w:rPr>
          <w:sz w:val="24"/>
          <w:szCs w:val="24"/>
        </w:rPr>
        <w:t>transfer.</w:t>
      </w:r>
    </w:p>
    <w:p w14:paraId="5E1EA98C">
      <w:pPr>
        <w:pStyle w:val="3"/>
        <w:numPr>
          <w:ilvl w:val="1"/>
          <w:numId w:val="43"/>
        </w:numPr>
        <w:spacing w:line="360" w:lineRule="auto"/>
        <w:jc w:val="both"/>
        <w:rPr>
          <w:sz w:val="24"/>
          <w:szCs w:val="24"/>
          <w:lang w:val="en-US"/>
        </w:rPr>
      </w:pPr>
      <w:r>
        <w:rPr>
          <w:sz w:val="24"/>
          <w:szCs w:val="24"/>
          <w:lang w:val="en-US"/>
        </w:rPr>
        <w:t>VFM analyses future cash flows shall determine whether an infrastructure projects is best suited to a traditional public-procurement option or a PPP option by measuring the relative benefits of the two options in Net Present Cost/Value terms.</w:t>
      </w:r>
    </w:p>
    <w:p w14:paraId="595B5A97">
      <w:pPr>
        <w:pStyle w:val="3"/>
        <w:numPr>
          <w:ilvl w:val="1"/>
          <w:numId w:val="43"/>
        </w:numPr>
        <w:spacing w:line="360" w:lineRule="auto"/>
        <w:jc w:val="both"/>
        <w:rPr>
          <w:sz w:val="24"/>
          <w:szCs w:val="24"/>
        </w:rPr>
      </w:pPr>
      <w:r>
        <w:rPr>
          <w:sz w:val="24"/>
          <w:szCs w:val="24"/>
        </w:rPr>
        <w:t>In</w:t>
      </w:r>
      <w:r>
        <w:rPr>
          <w:sz w:val="24"/>
          <w:szCs w:val="24"/>
          <w:lang w:val="en-US"/>
        </w:rPr>
        <w:t xml:space="preserve"> assessing VfM, consideration shall be placed on both the quantitative and qualitative assessments. The quantitative assessment shall focus on the costs of procuring a project under different procurement options. The qualitative assessment shall focuses on the benefits one procurement option may provide over and above the alternative. It consists of identifying and assessing unquantifiable factors which may also be considered in the procurement option decision (e.g., earlier availability of the service, improved service quality, higher environmental performance, and innovation).</w:t>
      </w:r>
    </w:p>
    <w:p w14:paraId="20AF40ED">
      <w:pPr>
        <w:pStyle w:val="3"/>
        <w:numPr>
          <w:ilvl w:val="1"/>
          <w:numId w:val="43"/>
        </w:numPr>
        <w:spacing w:line="360" w:lineRule="auto"/>
        <w:jc w:val="both"/>
        <w:rPr>
          <w:sz w:val="24"/>
          <w:szCs w:val="24"/>
          <w:lang w:val="en-US"/>
        </w:rPr>
      </w:pPr>
      <w:r>
        <w:rPr>
          <w:sz w:val="24"/>
          <w:szCs w:val="24"/>
          <w:lang w:val="en-US"/>
        </w:rPr>
        <w:t>The PPP UNIT shall have the primary responsibility of determining theVfM for PPP projects, in accordance with the ICRC Act 2014 and other national and international PPP appraisal guidelines, as maybe amended and updated.</w:t>
      </w:r>
    </w:p>
    <w:p w14:paraId="7E5A976A">
      <w:pPr>
        <w:pStyle w:val="3"/>
        <w:numPr>
          <w:ilvl w:val="1"/>
          <w:numId w:val="43"/>
        </w:numPr>
        <w:spacing w:line="360" w:lineRule="auto"/>
        <w:jc w:val="both"/>
        <w:rPr>
          <w:sz w:val="24"/>
          <w:szCs w:val="24"/>
          <w:lang w:val="en-US"/>
        </w:rPr>
      </w:pPr>
      <w:r>
        <w:rPr>
          <w:sz w:val="24"/>
          <w:szCs w:val="24"/>
          <w:lang w:val="en-US"/>
        </w:rPr>
        <w:t>The quantitative process of determining VfM in PPP projects shall be based on project-specific considerations to be determined by the PPP UNIT. For determining the whole-  of-life costs for a traditional university/public procurement option, the following aspects shall be considered, among others:</w:t>
      </w:r>
    </w:p>
    <w:p w14:paraId="746FBD1C">
      <w:pPr>
        <w:pStyle w:val="3"/>
        <w:numPr>
          <w:ilvl w:val="3"/>
          <w:numId w:val="68"/>
        </w:numPr>
        <w:spacing w:line="360" w:lineRule="auto"/>
        <w:jc w:val="both"/>
        <w:rPr>
          <w:sz w:val="24"/>
          <w:szCs w:val="24"/>
          <w:lang w:val="en-US"/>
        </w:rPr>
      </w:pPr>
      <w:r>
        <w:rPr>
          <w:sz w:val="24"/>
          <w:szCs w:val="24"/>
          <w:lang w:val="en-US"/>
        </w:rPr>
        <w:t>Estimated whole-of-life cost of traditional university/public procurement (Raw Public Sector Comparator-(PSC) by the PPP UNIT on a best-effort basis (e.g.,scope, timeliness, maintenance requirements and costs shall be the same with the PPP project)</w:t>
      </w:r>
    </w:p>
    <w:p w14:paraId="7DB6C1E5">
      <w:pPr>
        <w:pStyle w:val="3"/>
        <w:numPr>
          <w:ilvl w:val="3"/>
          <w:numId w:val="68"/>
        </w:numPr>
        <w:spacing w:line="360" w:lineRule="auto"/>
        <w:jc w:val="both"/>
        <w:rPr>
          <w:sz w:val="24"/>
          <w:szCs w:val="24"/>
          <w:lang w:val="en-US"/>
        </w:rPr>
      </w:pPr>
      <w:r>
        <w:rPr>
          <w:sz w:val="24"/>
          <w:szCs w:val="24"/>
          <w:lang w:val="en-US"/>
        </w:rPr>
        <w:t>Estimated value of cost of benefits that is available only to the University (e.g., exemption from taxes);</w:t>
      </w:r>
    </w:p>
    <w:p w14:paraId="67396F97">
      <w:pPr>
        <w:pStyle w:val="3"/>
        <w:numPr>
          <w:ilvl w:val="3"/>
          <w:numId w:val="68"/>
        </w:numPr>
        <w:spacing w:line="360" w:lineRule="auto"/>
        <w:jc w:val="both"/>
        <w:rPr>
          <w:sz w:val="24"/>
          <w:szCs w:val="24"/>
          <w:lang w:val="en-US"/>
        </w:rPr>
      </w:pPr>
      <w:r>
        <w:rPr>
          <w:sz w:val="24"/>
          <w:szCs w:val="24"/>
          <w:lang w:val="en-US"/>
        </w:rPr>
        <w:t>Estimated value of project risks transferred by the government to the private sector incase of a PPP option(e.g. construction risks);and</w:t>
      </w:r>
    </w:p>
    <w:p w14:paraId="217AE85F">
      <w:pPr>
        <w:pStyle w:val="3"/>
        <w:numPr>
          <w:ilvl w:val="3"/>
          <w:numId w:val="68"/>
        </w:numPr>
        <w:spacing w:line="360" w:lineRule="auto"/>
        <w:jc w:val="both"/>
        <w:rPr>
          <w:sz w:val="24"/>
          <w:szCs w:val="24"/>
          <w:lang w:val="en-US"/>
        </w:rPr>
      </w:pPr>
      <w:r>
        <w:rPr>
          <w:sz w:val="24"/>
          <w:szCs w:val="24"/>
          <w:lang w:val="en-US"/>
        </w:rPr>
        <w:t>Estimated value of project risks retained by the government, irrespective of the procurement option chosen (e.g., regulatory risks)</w:t>
      </w:r>
    </w:p>
    <w:p w14:paraId="0331494D">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p>
    <w:p w14:paraId="14D5B8B6">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Helvetica Neue" w:hAnsi="Helvetica Neue" w:eastAsia="Helvetica Neue" w:cs="Helvetica Neue"/>
          <w:i/>
          <w:iCs/>
          <w:sz w:val="24"/>
          <w:szCs w:val="24"/>
        </w:rPr>
      </w:pPr>
      <w:r>
        <w:rPr>
          <w:rFonts w:ascii="Helvetica Neue" w:hAnsi="Helvetica Neue" w:eastAsia="Helvetica Neue" w:cs="Helvetica Neue"/>
          <w:i/>
          <w:iCs/>
          <w:sz w:val="24"/>
          <w:szCs w:val="24"/>
        </w:rPr>
        <w:tab/>
      </w:r>
      <w:r>
        <w:rPr>
          <w:rFonts w:ascii="Helvetica Neue" w:hAnsi="Helvetica Neue" w:eastAsia="Helvetica Neue" w:cs="Helvetica Neue"/>
          <w:i/>
          <w:iCs/>
          <w:sz w:val="24"/>
          <w:szCs w:val="24"/>
        </w:rPr>
        <w:t>**A</w:t>
      </w:r>
      <w:r>
        <w:rPr>
          <w:rFonts w:ascii="Helvetica Neue" w:hAnsi="Helvetica Neue"/>
          <w:i/>
          <w:iCs/>
          <w:sz w:val="24"/>
          <w:szCs w:val="24"/>
          <w:lang w:val="en-US"/>
        </w:rPr>
        <w:t xml:space="preserve"> summation of (i-iv) above will provide the PSC.</w:t>
      </w:r>
    </w:p>
    <w:p w14:paraId="661BD843">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55447162">
      <w:pPr>
        <w:pStyle w:val="3"/>
      </w:pPr>
    </w:p>
    <w:p w14:paraId="3DBE9DC9">
      <w:pPr>
        <w:pStyle w:val="3"/>
      </w:pPr>
    </w:p>
    <w:p w14:paraId="54B7F20C">
      <w:pPr>
        <w:pStyle w:val="3"/>
      </w:pPr>
    </w:p>
    <w:p w14:paraId="2FCDA1E2">
      <w:pPr>
        <w:pStyle w:val="3"/>
      </w:pPr>
    </w:p>
    <w:p w14:paraId="7EC827AD">
      <w:pPr>
        <w:pStyle w:val="3"/>
      </w:pPr>
    </w:p>
    <w:p w14:paraId="346D45E0">
      <w:pPr>
        <w:pStyle w:val="3"/>
        <w:rPr>
          <w:lang w:eastAsia="zh-CN"/>
        </w:rPr>
      </w:pPr>
    </w:p>
    <w:p w14:paraId="5F1E7F82">
      <w:pPr>
        <w:pStyle w:val="22"/>
      </w:pPr>
    </w:p>
    <w:p w14:paraId="300E95F7">
      <w:pPr>
        <w:pStyle w:val="24"/>
        <w:rPr>
          <w:rFonts w:ascii="Helvetica Neue" w:hAnsi="Helvetica Neue" w:eastAsia="Helvetica Neue" w:cs="Helvetica Neue"/>
          <w:b/>
          <w:bCs/>
          <w:color w:val="000000"/>
        </w:rPr>
      </w:pPr>
      <w:bookmarkStart w:id="73" w:name="_Toc72"/>
      <w:r>
        <w:rPr>
          <w:rFonts w:ascii="Helvetica Neue" w:hAnsi="Helvetica Neue"/>
          <w:b/>
          <w:bCs/>
          <w:color w:val="000000"/>
          <w:lang w:val="en-US"/>
        </w:rPr>
        <w:t>10.0. contract management framework</w:t>
      </w:r>
      <w:bookmarkEnd w:id="73"/>
    </w:p>
    <w:p w14:paraId="3A9BE23F">
      <w:pPr>
        <w:pStyle w:val="24"/>
      </w:pPr>
    </w:p>
    <w:p w14:paraId="0943699A">
      <w:pPr>
        <w:pStyle w:val="2"/>
        <w:rPr>
          <w:color w:val="000000"/>
        </w:rPr>
      </w:pPr>
      <w:bookmarkStart w:id="74" w:name="_Toc73"/>
      <w:r>
        <w:rPr>
          <w:color w:val="000000"/>
          <w:lang w:val="en-US"/>
        </w:rPr>
        <w:t>10.1. PPP Contract Renegotiation</w:t>
      </w:r>
      <w:bookmarkEnd w:id="74"/>
    </w:p>
    <w:p w14:paraId="7A36DCD5">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25C2D7CF">
      <w:pPr>
        <w:pStyle w:val="3"/>
        <w:numPr>
          <w:ilvl w:val="1"/>
          <w:numId w:val="70"/>
        </w:numPr>
        <w:spacing w:line="360" w:lineRule="auto"/>
        <w:jc w:val="both"/>
        <w:rPr>
          <w:sz w:val="24"/>
          <w:szCs w:val="24"/>
          <w:lang w:val="en-US"/>
        </w:rPr>
      </w:pPr>
      <w:r>
        <w:rPr>
          <w:sz w:val="24"/>
          <w:szCs w:val="24"/>
          <w:lang w:val="en-US"/>
        </w:rPr>
        <w:t>The UNN PPP UNIT will not embark on renegotiation post bidding. This is to forestall opportunistic private sector bidders that make more aggressive (and potentially unrealistic) bids to secure a project, hoping to then renegotiate the PPP contract shortly after financial close in the absence of competition. As a result, the UNN PPP UNIT will not accept any intention or attempt of the private partner to transfer risks back to the UNN PPP UNIT, which is believed to have been contractually allocated to the private partner. This is to ensure that private sector partners who may not be efficient but who are opportunistic negotiators are not rewarded. Also, UNN PPP UNIT Shall not entertain the following:</w:t>
      </w:r>
    </w:p>
    <w:p w14:paraId="3EDDE06A">
      <w:pPr>
        <w:pStyle w:val="3"/>
        <w:numPr>
          <w:ilvl w:val="4"/>
          <w:numId w:val="70"/>
        </w:numPr>
        <w:spacing w:line="360" w:lineRule="auto"/>
        <w:rPr>
          <w:sz w:val="24"/>
          <w:szCs w:val="24"/>
          <w:lang w:val="en-US"/>
        </w:rPr>
      </w:pPr>
      <w:r>
        <w:rPr>
          <w:sz w:val="24"/>
          <w:szCs w:val="24"/>
          <w:lang w:val="en-US"/>
        </w:rPr>
        <w:t>Any event that was foreseeable at financial close</w:t>
      </w:r>
    </w:p>
    <w:p w14:paraId="60F70F88">
      <w:pPr>
        <w:pStyle w:val="3"/>
        <w:numPr>
          <w:ilvl w:val="4"/>
          <w:numId w:val="70"/>
        </w:numPr>
        <w:spacing w:line="360" w:lineRule="auto"/>
        <w:rPr>
          <w:sz w:val="24"/>
          <w:szCs w:val="24"/>
          <w:lang w:val="en-US"/>
        </w:rPr>
      </w:pPr>
      <w:r>
        <w:rPr>
          <w:sz w:val="24"/>
          <w:szCs w:val="24"/>
          <w:lang w:val="en-US"/>
        </w:rPr>
        <w:t>Any event that would affect the Project Company in its ordinary course of business (e.g. a general change of law)</w:t>
      </w:r>
    </w:p>
    <w:p w14:paraId="011BCA1F">
      <w:pPr>
        <w:pStyle w:val="3"/>
        <w:numPr>
          <w:ilvl w:val="4"/>
          <w:numId w:val="70"/>
        </w:numPr>
        <w:spacing w:line="360" w:lineRule="auto"/>
        <w:rPr>
          <w:sz w:val="24"/>
          <w:szCs w:val="24"/>
          <w:lang w:val="en-US"/>
        </w:rPr>
      </w:pPr>
      <w:r>
        <w:rPr>
          <w:sz w:val="24"/>
          <w:szCs w:val="24"/>
          <w:lang w:val="en-US"/>
        </w:rPr>
        <w:t>Materialisation of a risk allocated to the Project Company or invalid assumptions made in its pricing or the scope of work required in relation to those risks</w:t>
      </w:r>
    </w:p>
    <w:p w14:paraId="2225C874">
      <w:pPr>
        <w:pStyle w:val="3"/>
        <w:numPr>
          <w:ilvl w:val="4"/>
          <w:numId w:val="70"/>
        </w:numPr>
        <w:spacing w:line="360" w:lineRule="auto"/>
        <w:rPr>
          <w:sz w:val="24"/>
          <w:szCs w:val="24"/>
          <w:lang w:val="en-US"/>
        </w:rPr>
      </w:pPr>
      <w:r>
        <w:rPr>
          <w:sz w:val="24"/>
          <w:szCs w:val="24"/>
          <w:lang w:val="en-US"/>
        </w:rPr>
        <w:t>Any distress arising directly or indirectly from the performance, action or inaction of the Project Company</w:t>
      </w:r>
    </w:p>
    <w:p w14:paraId="1E87BEAB">
      <w:pPr>
        <w:pStyle w:val="3"/>
        <w:numPr>
          <w:ilvl w:val="4"/>
          <w:numId w:val="70"/>
        </w:numPr>
        <w:spacing w:line="360" w:lineRule="auto"/>
        <w:rPr>
          <w:sz w:val="24"/>
          <w:szCs w:val="24"/>
          <w:lang w:val="en-US"/>
        </w:rPr>
      </w:pPr>
      <w:r>
        <w:rPr>
          <w:sz w:val="24"/>
          <w:szCs w:val="24"/>
          <w:lang w:val="en-US"/>
        </w:rPr>
        <w:t xml:space="preserve">Any failure by the Project Company to secure financing for the project </w:t>
      </w:r>
    </w:p>
    <w:p w14:paraId="58AA71C3">
      <w:pPr>
        <w:pStyle w:val="3"/>
        <w:numPr>
          <w:ilvl w:val="1"/>
          <w:numId w:val="44"/>
        </w:numPr>
        <w:spacing w:line="360" w:lineRule="auto"/>
        <w:jc w:val="both"/>
        <w:rPr>
          <w:sz w:val="24"/>
          <w:szCs w:val="24"/>
          <w:lang w:val="en-US"/>
        </w:rPr>
      </w:pPr>
      <w:r>
        <w:rPr>
          <w:sz w:val="24"/>
          <w:szCs w:val="24"/>
          <w:lang w:val="en-US"/>
        </w:rPr>
        <w:t>The UNN PPP UNIT understands that renegotiation in PPPs can have the effect of retrospectively distorting the competitive tender process. Where a contract is renegotiated and the agreed risk allocation changes after the preferred bidder has been selected, it is no longer obvious that the project company that was awarded the project offers the most cost-effective solution. This is because the originally tendered project and the renegotiated project are in essence two different projects. Most significantly, a project</w:t>
      </w:r>
      <w:r>
        <w:rPr>
          <w:sz w:val="24"/>
          <w:szCs w:val="24"/>
          <w:rtl/>
        </w:rPr>
        <w:t>’</w:t>
      </w:r>
      <w:r>
        <w:rPr>
          <w:sz w:val="24"/>
          <w:szCs w:val="24"/>
          <w:lang w:val="en-US"/>
        </w:rPr>
        <w:t xml:space="preserve">s value for money becomes less clear in the absence of competition. </w:t>
      </w:r>
    </w:p>
    <w:p w14:paraId="1DDB1A8C">
      <w:pPr>
        <w:pStyle w:val="3"/>
        <w:numPr>
          <w:ilvl w:val="1"/>
          <w:numId w:val="44"/>
        </w:numPr>
        <w:spacing w:line="360" w:lineRule="auto"/>
        <w:jc w:val="both"/>
        <w:rPr>
          <w:sz w:val="24"/>
          <w:szCs w:val="24"/>
          <w:lang w:val="en-US"/>
        </w:rPr>
      </w:pPr>
      <w:r>
        <w:rPr>
          <w:sz w:val="24"/>
          <w:szCs w:val="24"/>
          <w:lang w:val="en-US"/>
        </w:rPr>
        <w:t xml:space="preserve">However, if there is a “reasonable” renegotiation, not done to benefit opportunistic private partners, UNN PPP UNIT shall consider.  </w:t>
      </w:r>
    </w:p>
    <w:p w14:paraId="799640C7">
      <w:pPr>
        <w:pStyle w:val="3"/>
        <w:rPr>
          <w:lang w:val="en-GB"/>
        </w:rPr>
      </w:pPr>
    </w:p>
    <w:p w14:paraId="143FFCEB">
      <w:pPr>
        <w:pStyle w:val="2"/>
        <w:rPr>
          <w:color w:val="000000"/>
          <w:sz w:val="24"/>
          <w:szCs w:val="24"/>
        </w:rPr>
      </w:pPr>
      <w:bookmarkStart w:id="75" w:name="_Toc74"/>
      <w:r>
        <w:rPr>
          <w:color w:val="000000"/>
          <w:sz w:val="24"/>
          <w:szCs w:val="24"/>
          <w:lang w:val="en-US"/>
        </w:rPr>
        <w:t xml:space="preserve">10.2. PPP Project modifications </w:t>
      </w:r>
      <w:bookmarkEnd w:id="75"/>
    </w:p>
    <w:p w14:paraId="75D68920">
      <w:pPr>
        <w:pStyle w:val="24"/>
      </w:pPr>
    </w:p>
    <w:p w14:paraId="425794F3">
      <w:pPr>
        <w:pStyle w:val="3"/>
        <w:spacing w:line="360" w:lineRule="auto"/>
        <w:ind w:left="864"/>
        <w:jc w:val="both"/>
        <w:rPr>
          <w:sz w:val="24"/>
          <w:szCs w:val="24"/>
        </w:rPr>
      </w:pPr>
      <w:r>
        <w:rPr>
          <w:sz w:val="24"/>
          <w:szCs w:val="24"/>
          <w:lang w:val="en-US"/>
        </w:rPr>
        <w:t xml:space="preserve">In many cases there are specific circumstances that could not be anticipated or quantified when the PPP contract was signed and could represent changes to works, services or form of delivery. Four categories of modifications can be considered: </w:t>
      </w:r>
    </w:p>
    <w:p w14:paraId="34F9FF93">
      <w:pPr>
        <w:pStyle w:val="3"/>
        <w:spacing w:line="360" w:lineRule="auto"/>
        <w:ind w:left="864"/>
        <w:jc w:val="both"/>
        <w:rPr>
          <w:sz w:val="24"/>
          <w:szCs w:val="24"/>
        </w:rPr>
      </w:pPr>
      <w:r>
        <w:rPr>
          <w:sz w:val="24"/>
          <w:szCs w:val="24"/>
        </w:rPr>
        <w:t xml:space="preserve">• </w:t>
      </w:r>
      <w:r>
        <w:rPr>
          <w:sz w:val="24"/>
          <w:szCs w:val="24"/>
          <w:lang w:val="en-US"/>
        </w:rPr>
        <w:t xml:space="preserve">Modifications without Additional Costs: The university and the PPP Company shall discuss the best way of implementing the proposed change. If the modification will result in a reduction in costs to the PPP Company, then the parties shall reach agreement about how to distribute such savings, including any potential cost reductions to the users. The two parties shall agree modifications to the project financial model and to contracts without recourse to dispute resolution procedures. </w:t>
      </w:r>
    </w:p>
    <w:p w14:paraId="75CE874F">
      <w:pPr>
        <w:pStyle w:val="3"/>
        <w:spacing w:line="360" w:lineRule="auto"/>
        <w:ind w:left="864"/>
        <w:jc w:val="both"/>
        <w:rPr>
          <w:sz w:val="24"/>
          <w:szCs w:val="24"/>
        </w:rPr>
      </w:pPr>
      <w:r>
        <w:rPr>
          <w:sz w:val="24"/>
          <w:szCs w:val="24"/>
        </w:rPr>
        <w:t xml:space="preserve">• </w:t>
      </w:r>
      <w:r>
        <w:rPr>
          <w:sz w:val="24"/>
          <w:szCs w:val="24"/>
          <w:lang w:val="en-US"/>
        </w:rPr>
        <w:t xml:space="preserve">Small Works Variations: These types of modifications usually cover minor, unforeseen circumstances that require additional small works outside of the original contracts. Any dispute between the parties relating to small works variations must be determined in accordance with the dispute resolution procedures and shall be decided on a case-by-case basis with adjustment as necessary to the project financial model without major modifications to existing agreements. </w:t>
      </w:r>
    </w:p>
    <w:p w14:paraId="0F29EAE5">
      <w:pPr>
        <w:pStyle w:val="3"/>
        <w:spacing w:line="360" w:lineRule="auto"/>
        <w:ind w:left="864"/>
        <w:jc w:val="both"/>
        <w:rPr>
          <w:sz w:val="24"/>
          <w:szCs w:val="24"/>
        </w:rPr>
      </w:pPr>
      <w:r>
        <w:rPr>
          <w:sz w:val="24"/>
          <w:szCs w:val="24"/>
        </w:rPr>
        <w:t xml:space="preserve">• </w:t>
      </w:r>
      <w:r>
        <w:rPr>
          <w:sz w:val="24"/>
          <w:szCs w:val="24"/>
          <w:lang w:val="en-US"/>
        </w:rPr>
        <w:t xml:space="preserve">University-request Modifications: If the university wishes to make a change to the PPP project deliverables, it must first submit this request to the PPP Company. The proposal must describe the nature of the variation and require the PPP Company to provide an assessment of the technical, financial, contractual and timetable implications of the proposed change. After reviewing, the university must decide who will fund the modification (i.e., PPP Company, university, or users). If the PPP Company is adversely affected by this modification, they should be compensated in some manner and the project financial model adjusted accordingly. </w:t>
      </w:r>
    </w:p>
    <w:p w14:paraId="56251D25">
      <w:pPr>
        <w:pStyle w:val="3"/>
        <w:spacing w:line="360" w:lineRule="auto"/>
        <w:ind w:left="864"/>
        <w:jc w:val="both"/>
        <w:rPr>
          <w:sz w:val="24"/>
          <w:szCs w:val="24"/>
        </w:rPr>
      </w:pPr>
      <w:r>
        <w:rPr>
          <w:sz w:val="24"/>
          <w:szCs w:val="24"/>
        </w:rPr>
        <w:t xml:space="preserve">• </w:t>
      </w:r>
      <w:r>
        <w:rPr>
          <w:sz w:val="24"/>
          <w:szCs w:val="24"/>
          <w:lang w:val="en-US"/>
        </w:rPr>
        <w:t xml:space="preserve">PPP Company-request Modifications: If the PPP Company wishes to introduce a variation it must submit a proposal to government setting out the details of the modification and the likely impact on service delivery and the PPP contract via the use of the project financial model. The university must decide whether to accept it or not and, if accepted, how to modify the funding regime that has been agreed and adjust the project financial model accordingly. </w:t>
      </w:r>
    </w:p>
    <w:p w14:paraId="59EC1F55">
      <w:pPr>
        <w:pStyle w:val="2"/>
        <w:rPr>
          <w:color w:val="000000"/>
        </w:rPr>
      </w:pPr>
      <w:bookmarkStart w:id="76" w:name="_Toc75"/>
      <w:r>
        <w:rPr>
          <w:color w:val="000000"/>
          <w:lang w:val="en-US"/>
        </w:rPr>
        <w:t xml:space="preserve">10.2. No Compete Clause </w:t>
      </w:r>
      <w:bookmarkEnd w:id="76"/>
    </w:p>
    <w:p w14:paraId="5199F000">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r>
        <w:rPr>
          <w:sz w:val="24"/>
          <w:szCs w:val="24"/>
          <w:lang w:val="en-US"/>
        </w:rPr>
        <w:t>The PPP UNIT may in some cases provide the project with some protections from competition in order to reduce volume and revenue risk. For example, a hostel project may have a guarantee from the university that an alternative hostel won</w:t>
      </w:r>
      <w:r>
        <w:rPr>
          <w:sz w:val="24"/>
          <w:szCs w:val="24"/>
          <w:rtl/>
        </w:rPr>
        <w:t>’</w:t>
      </w:r>
      <w:r>
        <w:rPr>
          <w:sz w:val="24"/>
          <w:szCs w:val="24"/>
          <w:lang w:val="en-US"/>
        </w:rPr>
        <w:t xml:space="preserve">t be allowed nearby within a set number of years or until demand has reached a specified level. In other words, the University may consent to a no-compete clause to protect the investors' revenue or guarantee full occupation of such facility depending on other circumstance of the contract.  </w:t>
      </w:r>
    </w:p>
    <w:p w14:paraId="2203CD49">
      <w:pPr>
        <w:pStyle w:val="2"/>
        <w:rPr>
          <w:color w:val="000000"/>
          <w:sz w:val="24"/>
          <w:szCs w:val="24"/>
        </w:rPr>
      </w:pPr>
      <w:bookmarkStart w:id="77" w:name="_Toc76"/>
      <w:r>
        <w:rPr>
          <w:color w:val="000000"/>
          <w:sz w:val="24"/>
          <w:szCs w:val="24"/>
          <w:lang w:val="en-US"/>
        </w:rPr>
        <w:t xml:space="preserve">10.4. Project Life Ceiling and those excluded from PPP Arrangement </w:t>
      </w:r>
      <w:bookmarkEnd w:id="77"/>
    </w:p>
    <w:p w14:paraId="06E7235E">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r>
        <w:rPr>
          <w:sz w:val="24"/>
          <w:szCs w:val="24"/>
          <w:lang w:val="en-US"/>
        </w:rPr>
        <w:t xml:space="preserve">The lifespan of all the projects covered within this PPP policy framework shall conform to the extant federal laws. In this respect, the project shall not exceed </w:t>
      </w:r>
      <w:r>
        <w:rPr>
          <w:color w:val="000000" w:themeColor="text1"/>
          <w:sz w:val="24"/>
          <w:szCs w:val="24"/>
          <w:lang w:val="en-US"/>
          <w14:textFill>
            <w14:solidFill>
              <w14:schemeClr w14:val="tx1"/>
            </w14:solidFill>
          </w14:textFill>
        </w:rPr>
        <w:t xml:space="preserve">(21 years; negotiable) </w:t>
      </w:r>
      <w:r>
        <w:rPr>
          <w:sz w:val="24"/>
          <w:szCs w:val="24"/>
          <w:lang w:val="en-US"/>
        </w:rPr>
        <w:t>before it reverts to the University. Any considerations of renewal or extensions can only proceed after a clear disengagement has been completed and must be done within the guidelines and conditions permitted by this policy or any other laws in this regard.</w:t>
      </w:r>
    </w:p>
    <w:p w14:paraId="1C54BCCC">
      <w:pPr>
        <w:pStyle w:val="2"/>
        <w:rPr>
          <w:color w:val="000000"/>
          <w:sz w:val="24"/>
          <w:szCs w:val="24"/>
        </w:rPr>
      </w:pPr>
      <w:bookmarkStart w:id="78" w:name="_Toc77"/>
      <w:r>
        <w:rPr>
          <w:color w:val="000000"/>
          <w:sz w:val="24"/>
          <w:szCs w:val="24"/>
          <w:lang w:val="en-US"/>
        </w:rPr>
        <w:t xml:space="preserve">10.5.  Conflict Resolution </w:t>
      </w:r>
      <w:bookmarkEnd w:id="78"/>
    </w:p>
    <w:p w14:paraId="79DBA5D0">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r>
        <w:rPr>
          <w:sz w:val="24"/>
          <w:szCs w:val="24"/>
          <w:lang w:val="en-US"/>
        </w:rPr>
        <w:t>The Vice Chancellor may, in appropriate circumstances, upon request by either the PPP UNIT or the project proponent, in accordance with the provisions of the ICRC Act or of these regulations, mediate in a conflict between UNN PPP UNIT and the project proponent</w:t>
      </w:r>
      <w:r>
        <w:rPr>
          <w:color w:val="EE0000"/>
          <w:sz w:val="24"/>
          <w:szCs w:val="24"/>
          <w:lang w:val="en-US"/>
        </w:rPr>
        <w:t>.</w:t>
      </w:r>
      <w:r>
        <w:rPr>
          <w:sz w:val="24"/>
          <w:szCs w:val="24"/>
          <w:lang w:val="fr-FR"/>
        </w:rPr>
        <w:t xml:space="preserve"> Mediation</w:t>
      </w:r>
      <w:r>
        <w:rPr>
          <w:rFonts w:cs="Times New Roman"/>
          <w:sz w:val="24"/>
          <w:szCs w:val="24"/>
          <w:rtl/>
        </w:rPr>
        <w:t>’</w:t>
      </w:r>
      <w:r>
        <w:rPr>
          <w:sz w:val="24"/>
          <w:szCs w:val="24"/>
          <w:lang w:val="en-US"/>
        </w:rPr>
        <w:t xml:space="preserve">s proceedings handled by the VC shall be coordinated by the Ad-Hoc Committee on PPP Contract Compliance set up by the VC </w:t>
      </w:r>
      <w:r>
        <w:rPr>
          <w:color w:val="000000" w:themeColor="text1"/>
          <w:sz w:val="24"/>
          <w:szCs w:val="24"/>
          <w:lang w:val="en-US"/>
          <w14:textFill>
            <w14:solidFill>
              <w14:schemeClr w14:val="tx1"/>
            </w14:solidFill>
          </w14:textFill>
        </w:rPr>
        <w:t>and headed by chairperson or director of UNNIDTF.</w:t>
      </w:r>
    </w:p>
    <w:p w14:paraId="7A75163E">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78E34820">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r>
        <w:rPr>
          <w:sz w:val="24"/>
          <w:szCs w:val="24"/>
          <w:lang w:val="en-US"/>
        </w:rPr>
        <w:t>A party to any conflict in which the Vice Chancellor and the Ad-hoc Committee on PPP Contract Compliance are mediators reserves the right to accept or reject the commission</w:t>
      </w:r>
      <w:r>
        <w:rPr>
          <w:sz w:val="24"/>
          <w:szCs w:val="24"/>
          <w:rtl/>
        </w:rPr>
        <w:t>’</w:t>
      </w:r>
      <w:r>
        <w:rPr>
          <w:sz w:val="24"/>
          <w:szCs w:val="24"/>
          <w:lang w:val="en-US"/>
        </w:rPr>
        <w:t>s determination on the issues in dispute, provided that once all the parties to the conflict have indicated their acceptance of the terms of settlement by appending their signatures to the terms of the settlement reached, no party shall have the right to subsequently challenge or reject the decision, and the terms of settlement shall be incorporated into the PPP Agreements, which shall become binding on all the parties.</w:t>
      </w:r>
    </w:p>
    <w:p w14:paraId="4252DA5A">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sz w:val="24"/>
          <w:szCs w:val="24"/>
        </w:rPr>
      </w:pPr>
    </w:p>
    <w:p w14:paraId="7F8F89BB">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color w:val="000000" w:themeColor="text1"/>
          <w:sz w:val="24"/>
          <w:szCs w:val="24"/>
          <w14:textFill>
            <w14:solidFill>
              <w14:schemeClr w14:val="tx1"/>
            </w14:solidFill>
          </w14:textFill>
        </w:rPr>
      </w:pPr>
      <w:r>
        <w:rPr>
          <w:color w:val="000000" w:themeColor="text1"/>
          <w:sz w:val="24"/>
          <w:szCs w:val="24"/>
          <w:lang w:val="en-US"/>
          <w14:textFill>
            <w14:solidFill>
              <w14:schemeClr w14:val="tx1"/>
            </w14:solidFill>
          </w14:textFill>
        </w:rPr>
        <w:t>In the event that any party to a mediation by the VC and Committee on PPP Contract Compliance rejects the decision reached by the VC and the PPP Contract Compliance Committee, such a party may declare a conflict resolution provision in the PPP Agreement, provided that no party shall activate the dispute resolution mechanisms provided in the PPP Agreement without first serving the University and the UNN PPP UNIT, and any other parties to the PPP Agreement, a three-month notice in writing of its intention to declare a conflict</w:t>
      </w:r>
    </w:p>
    <w:p w14:paraId="40A3BF5F">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color w:val="000000" w:themeColor="text1"/>
          <w:sz w:val="24"/>
          <w:szCs w:val="24"/>
          <w14:textFill>
            <w14:solidFill>
              <w14:schemeClr w14:val="tx1"/>
            </w14:solidFill>
          </w14:textFill>
        </w:rPr>
      </w:pPr>
    </w:p>
    <w:p w14:paraId="64F183B0">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color w:val="000000" w:themeColor="text1"/>
          <w:sz w:val="24"/>
          <w:szCs w:val="24"/>
          <w14:textFill>
            <w14:solidFill>
              <w14:schemeClr w14:val="tx1"/>
            </w14:solidFill>
          </w14:textFill>
        </w:rPr>
      </w:pPr>
      <w:r>
        <w:rPr>
          <w:color w:val="000000" w:themeColor="text1"/>
          <w:sz w:val="24"/>
          <w:szCs w:val="24"/>
          <w:lang w:val="en-US"/>
          <w14:textFill>
            <w14:solidFill>
              <w14:schemeClr w14:val="tx1"/>
            </w14:solidFill>
          </w14:textFill>
        </w:rPr>
        <w:t xml:space="preserve">The conflict resolution provision for PPP in UNN shall be mediation under the mediative-conciliatory (Med-Con) option. This is a private and party-driven process, empowering a neutral organ of power to give a binding and enforceable decision where the parties fail to reach a resolution. In that case, the office of the court is to enforce the decision as an </w:t>
      </w:r>
      <w:r>
        <w:rPr>
          <w:rFonts w:cs="Times New Roman"/>
          <w:color w:val="000000" w:themeColor="text1"/>
          <w:sz w:val="24"/>
          <w:szCs w:val="24"/>
          <w:rtl/>
          <w:lang w:val="ar-SA"/>
          <w14:textFill>
            <w14:solidFill>
              <w14:schemeClr w14:val="tx1"/>
            </w14:solidFill>
          </w14:textFill>
        </w:rPr>
        <w:t>“</w:t>
      </w:r>
      <w:r>
        <w:rPr>
          <w:color w:val="000000" w:themeColor="text1"/>
          <w:sz w:val="24"/>
          <w:szCs w:val="24"/>
          <w:lang w:val="en-US"/>
          <w14:textFill>
            <w14:solidFill>
              <w14:schemeClr w14:val="tx1"/>
            </w14:solidFill>
          </w14:textFill>
        </w:rPr>
        <w:t>award</w:t>
      </w:r>
      <w:r>
        <w:rPr>
          <w:color w:val="000000" w:themeColor="text1"/>
          <w:sz w:val="24"/>
          <w:szCs w:val="24"/>
          <w14:textFill>
            <w14:solidFill>
              <w14:schemeClr w14:val="tx1"/>
            </w14:solidFill>
          </w14:textFill>
        </w:rPr>
        <w:t xml:space="preserve">” </w:t>
      </w:r>
      <w:r>
        <w:rPr>
          <w:color w:val="000000" w:themeColor="text1"/>
          <w:sz w:val="24"/>
          <w:szCs w:val="24"/>
          <w:lang w:val="en-US"/>
          <w14:textFill>
            <w14:solidFill>
              <w14:schemeClr w14:val="tx1"/>
            </w14:solidFill>
          </w14:textFill>
        </w:rPr>
        <w:t>once an application for such is made with the supporting documents, such as the empowering clause and the award of the mediative-conciliator. Only the university may consider litigation after exploring the last option.</w:t>
      </w:r>
    </w:p>
    <w:p w14:paraId="2055F186">
      <w:pPr>
        <w:pStyle w:val="24"/>
      </w:pPr>
    </w:p>
    <w:p w14:paraId="1C1F5B74">
      <w:pPr>
        <w:pStyle w:val="2"/>
        <w:rPr>
          <w:sz w:val="24"/>
          <w:szCs w:val="24"/>
        </w:rPr>
      </w:pPr>
      <w:bookmarkStart w:id="79" w:name="_Toc78"/>
      <w:r>
        <w:rPr>
          <w:color w:val="000000"/>
          <w:sz w:val="24"/>
          <w:szCs w:val="24"/>
          <w:lang w:val="en-US"/>
        </w:rPr>
        <w:t>10.6. Right of complaints</w:t>
      </w:r>
      <w:r>
        <w:rPr>
          <w:sz w:val="24"/>
          <w:szCs w:val="24"/>
          <w:lang w:val="en-US"/>
        </w:rPr>
        <w:t xml:space="preserve"> </w:t>
      </w:r>
      <w:bookmarkEnd w:id="79"/>
    </w:p>
    <w:p w14:paraId="7A042656">
      <w:pPr>
        <w:pStyle w:val="3"/>
        <w:jc w:val="both"/>
        <w:rPr>
          <w:color w:val="000000" w:themeColor="text1"/>
          <w:sz w:val="24"/>
          <w:szCs w:val="24"/>
          <w14:textFill>
            <w14:solidFill>
              <w14:schemeClr w14:val="tx1"/>
            </w14:solidFill>
          </w14:textFill>
        </w:rPr>
      </w:pPr>
      <w:r>
        <w:rPr>
          <w:color w:val="000000" w:themeColor="text1"/>
          <w:sz w:val="24"/>
          <w:szCs w:val="24"/>
          <w:lang w:val="en-US"/>
          <w14:textFill>
            <w14:solidFill>
              <w14:schemeClr w14:val="tx1"/>
            </w14:solidFill>
          </w14:textFill>
        </w:rPr>
        <w:t>A project proponent aggrieved with the UNN PPP UNIT over the way or manner in which any PPP project or services is being or has been procured, or regarding any aspect of the procurement process, or any decision or action of UNN PPP UNIT, shall be entitled to bring a complaint to the University through their PPP UNIT in respect of the grievance.</w:t>
      </w:r>
    </w:p>
    <w:p w14:paraId="0C3FB019">
      <w:pPr>
        <w:pStyle w:val="3"/>
        <w:jc w:val="both"/>
        <w:rPr>
          <w:color w:val="000000" w:themeColor="text1"/>
          <w:sz w:val="24"/>
          <w:szCs w:val="24"/>
          <w14:textFill>
            <w14:solidFill>
              <w14:schemeClr w14:val="tx1"/>
            </w14:solidFill>
          </w14:textFill>
        </w:rPr>
      </w:pPr>
      <w:r>
        <w:rPr>
          <w:color w:val="000000" w:themeColor="text1"/>
          <w:sz w:val="24"/>
          <w:szCs w:val="24"/>
          <w:lang w:val="en-US"/>
          <w14:textFill>
            <w14:solidFill>
              <w14:schemeClr w14:val="tx1"/>
            </w14:solidFill>
          </w14:textFill>
        </w:rPr>
        <w:t>A complaint by the bidder or project proponent against the UNN PPP UNIT shall first be submitted in writing to the Vice Chancellor, and a copy to the PPP UNIT, who shall:</w:t>
      </w:r>
    </w:p>
    <w:p w14:paraId="0253767E">
      <w:pPr>
        <w:pStyle w:val="3"/>
        <w:numPr>
          <w:ilvl w:val="1"/>
          <w:numId w:val="71"/>
        </w:numPr>
        <w:jc w:val="both"/>
        <w:rPr>
          <w:color w:val="000000" w:themeColor="text1"/>
          <w:sz w:val="24"/>
          <w:szCs w:val="24"/>
          <w:lang w:val="en-US"/>
          <w14:textFill>
            <w14:solidFill>
              <w14:schemeClr w14:val="tx1"/>
            </w14:solidFill>
          </w14:textFill>
        </w:rPr>
      </w:pPr>
      <w:r>
        <w:rPr>
          <w:color w:val="000000" w:themeColor="text1"/>
          <w:sz w:val="24"/>
          <w:szCs w:val="24"/>
          <w:lang w:val="en-US"/>
          <w14:textFill>
            <w14:solidFill>
              <w14:schemeClr w14:val="tx1"/>
            </w14:solidFill>
          </w14:textFill>
        </w:rPr>
        <w:t>within 30 working days from when the bidder first became aware of the circumstances giving rise to the complaint or should have become aware of the circumstances, whichever is earlier; and</w:t>
      </w:r>
    </w:p>
    <w:p w14:paraId="56F57738">
      <w:pPr>
        <w:pStyle w:val="3"/>
        <w:numPr>
          <w:ilvl w:val="1"/>
          <w:numId w:val="43"/>
        </w:numPr>
        <w:jc w:val="both"/>
        <w:rPr>
          <w:color w:val="000000" w:themeColor="text1"/>
          <w:sz w:val="24"/>
          <w:szCs w:val="24"/>
          <w:lang w:val="en-US"/>
          <w14:textFill>
            <w14:solidFill>
              <w14:schemeClr w14:val="tx1"/>
            </w14:solidFill>
          </w14:textFill>
        </w:rPr>
      </w:pPr>
      <w:r>
        <w:rPr>
          <w:color w:val="000000" w:themeColor="text1"/>
          <w:sz w:val="24"/>
          <w:szCs w:val="24"/>
          <w:lang w:val="en-US"/>
          <w14:textFill>
            <w14:solidFill>
              <w14:schemeClr w14:val="tx1"/>
            </w14:solidFill>
          </w14:textFill>
        </w:rPr>
        <w:t>On reviewing a complaint, the Vice Chancellor shall make a decision in writing within 20 working days indicating the corrective measure to be taken, if any, including the suspension of the proceedings where he deems it necessary, and giving reasons for his decision.</w:t>
      </w:r>
    </w:p>
    <w:p w14:paraId="21EB8912">
      <w:pPr>
        <w:pStyle w:val="3"/>
        <w:numPr>
          <w:ilvl w:val="1"/>
          <w:numId w:val="43"/>
        </w:numPr>
        <w:jc w:val="both"/>
        <w:rPr>
          <w:color w:val="000000" w:themeColor="text1"/>
          <w:sz w:val="24"/>
          <w:szCs w:val="24"/>
          <w:lang w:val="en-US"/>
          <w14:textFill>
            <w14:solidFill>
              <w14:schemeClr w14:val="tx1"/>
            </w14:solidFill>
          </w14:textFill>
        </w:rPr>
      </w:pPr>
      <w:r>
        <w:rPr>
          <w:color w:val="000000" w:themeColor="text1"/>
          <w:sz w:val="24"/>
          <w:szCs w:val="24"/>
          <w:lang w:val="en-US"/>
          <w14:textFill>
            <w14:solidFill>
              <w14:schemeClr w14:val="tx1"/>
            </w14:solidFill>
          </w14:textFill>
        </w:rPr>
        <w:t>Where the proponent did not accept the decision of the VC, the proponent can escalate the complaint to the conflict resolution panel.</w:t>
      </w:r>
    </w:p>
    <w:p w14:paraId="63F64D55">
      <w:pPr>
        <w:pStyle w:val="2"/>
        <w:rPr>
          <w:color w:val="000000"/>
          <w:sz w:val="24"/>
          <w:szCs w:val="24"/>
        </w:rPr>
      </w:pPr>
    </w:p>
    <w:p w14:paraId="7B018EE4">
      <w:pPr>
        <w:pStyle w:val="2"/>
        <w:rPr>
          <w:color w:val="000000"/>
          <w:sz w:val="24"/>
          <w:szCs w:val="24"/>
        </w:rPr>
      </w:pPr>
      <w:bookmarkStart w:id="80" w:name="_Toc79"/>
      <w:r>
        <w:rPr>
          <w:color w:val="000000"/>
          <w:sz w:val="24"/>
          <w:szCs w:val="24"/>
          <w:lang w:val="en-US"/>
        </w:rPr>
        <w:t xml:space="preserve">10.7. Hand Back PPP Project </w:t>
      </w:r>
      <w:bookmarkEnd w:id="80"/>
    </w:p>
    <w:p w14:paraId="05D3B8F1">
      <w:pPr>
        <w:pStyle w:val="3"/>
      </w:pPr>
    </w:p>
    <w:p w14:paraId="266AAF9F">
      <w:pPr>
        <w:pStyle w:val="3"/>
        <w:spacing w:line="360" w:lineRule="auto"/>
        <w:jc w:val="both"/>
        <w:rPr>
          <w:sz w:val="24"/>
          <w:szCs w:val="24"/>
        </w:rPr>
      </w:pPr>
      <w:r>
        <w:rPr>
          <w:sz w:val="24"/>
          <w:szCs w:val="24"/>
          <w:lang w:val="en-US"/>
        </w:rPr>
        <w:t xml:space="preserve">This phase marks the completion of the contract period and leads to the natural termination of the agreement. It shall involve the exit from the project by the PPP company, the transfer of land and assets back to the university, and the decision by the PPP UNIT on appropriate next steps, including re-tendering the project to the private sector. However, in some cases the university through the PPP UNIT may have an option to extend the project term. All PPP projects shall have a specified duration of the concession </w:t>
      </w:r>
      <w:r>
        <w:rPr>
          <w:color w:val="000000" w:themeColor="text1"/>
          <w:sz w:val="24"/>
          <w:szCs w:val="24"/>
          <w14:textFill>
            <w14:solidFill>
              <w14:schemeClr w14:val="tx1"/>
            </w14:solidFill>
          </w14:textFill>
        </w:rPr>
        <w:t>(usually 10-</w:t>
      </w:r>
      <w:r>
        <w:rPr>
          <w:rFonts w:hint="eastAsia"/>
          <w:color w:val="000000" w:themeColor="text1"/>
          <w:sz w:val="24"/>
          <w:szCs w:val="24"/>
          <w:lang w:eastAsia="zh-CN"/>
          <w14:textFill>
            <w14:solidFill>
              <w14:schemeClr w14:val="tx1"/>
            </w14:solidFill>
          </w14:textFill>
        </w:rPr>
        <w:t>2</w:t>
      </w:r>
      <w:r>
        <w:rPr>
          <w:color w:val="000000" w:themeColor="text1"/>
          <w:sz w:val="24"/>
          <w:szCs w:val="24"/>
          <w:lang w:val="en-US" w:eastAsia="zh-CN"/>
          <w14:textFill>
            <w14:solidFill>
              <w14:schemeClr w14:val="tx1"/>
            </w14:solidFill>
          </w14:textFill>
        </w:rPr>
        <w:t>1</w:t>
      </w:r>
      <w:r>
        <w:rPr>
          <w:color w:val="000000" w:themeColor="text1"/>
          <w:sz w:val="24"/>
          <w:szCs w:val="24"/>
          <w14:textFill>
            <w14:solidFill>
              <w14:schemeClr w14:val="tx1"/>
            </w14:solidFill>
          </w14:textFill>
        </w:rPr>
        <w:t xml:space="preserve"> years</w:t>
      </w:r>
      <w:r>
        <w:rPr>
          <w:color w:val="000000" w:themeColor="text1"/>
          <w:sz w:val="24"/>
          <w:szCs w:val="24"/>
          <w:lang w:val="en-US"/>
          <w14:textFill>
            <w14:solidFill>
              <w14:schemeClr w14:val="tx1"/>
            </w14:solidFill>
          </w14:textFill>
        </w:rPr>
        <w:t>; negotiable</w:t>
      </w:r>
      <w:r>
        <w:rPr>
          <w:color w:val="000000" w:themeColor="text1"/>
          <w:sz w:val="24"/>
          <w:szCs w:val="24"/>
          <w14:textFill>
            <w14:solidFill>
              <w14:schemeClr w14:val="tx1"/>
            </w14:solidFill>
          </w14:textFill>
        </w:rPr>
        <w:t>)</w:t>
      </w:r>
      <w:r>
        <w:rPr>
          <w:color w:val="000000" w:themeColor="text1"/>
          <w:sz w:val="24"/>
          <w:szCs w:val="24"/>
          <w:lang w:val="en-US"/>
          <w14:textFill>
            <w14:solidFill>
              <w14:schemeClr w14:val="tx1"/>
            </w14:solidFill>
          </w14:textFill>
        </w:rPr>
        <w:t xml:space="preserve">; </w:t>
      </w:r>
      <w:r>
        <w:rPr>
          <w:sz w:val="24"/>
          <w:szCs w:val="24"/>
          <w:lang w:val="en-US"/>
        </w:rPr>
        <w:t xml:space="preserve">and at the expiry of the concession contract, the private sector is required to hand over the project assets to the university in good operating condition. </w:t>
      </w:r>
    </w:p>
    <w:p w14:paraId="65E037D5">
      <w:pPr>
        <w:pStyle w:val="3"/>
        <w:spacing w:line="360" w:lineRule="auto"/>
        <w:jc w:val="both"/>
        <w:rPr>
          <w:sz w:val="24"/>
          <w:szCs w:val="24"/>
        </w:rPr>
      </w:pPr>
      <w:r>
        <w:rPr>
          <w:sz w:val="24"/>
          <w:szCs w:val="24"/>
          <w:lang w:val="en-US"/>
        </w:rPr>
        <w:t>In PPP agreement that requires the transfer or hand-back of infrastructure facilities to the UNN PPP UNIT upon the expiration or earlier determination of the PPP agreement, the procurer shall transfer/hand-back all the infrastructure facilities and other assets identified in the PPP agreement upon the expiry or sooner determination of the PPP agreement.</w:t>
      </w:r>
    </w:p>
    <w:p w14:paraId="65CAD4BF">
      <w:pPr>
        <w:pStyle w:val="3"/>
        <w:spacing w:line="360" w:lineRule="auto"/>
        <w:jc w:val="both"/>
        <w:rPr>
          <w:sz w:val="24"/>
          <w:szCs w:val="24"/>
        </w:rPr>
      </w:pPr>
      <w:r>
        <w:rPr>
          <w:sz w:val="24"/>
          <w:szCs w:val="24"/>
          <w:lang w:val="en-US"/>
        </w:rPr>
        <w:t>The UNN PPP UNIT shall, not later than thirty-six months prior to the hand-back date establish an internal hand-backing steering committee charged with the following responsibilities:</w:t>
      </w:r>
    </w:p>
    <w:p w14:paraId="31509295">
      <w:pPr>
        <w:pStyle w:val="3"/>
        <w:jc w:val="both"/>
        <w:rPr>
          <w:sz w:val="24"/>
          <w:szCs w:val="24"/>
        </w:rPr>
      </w:pPr>
    </w:p>
    <w:p w14:paraId="7B1426E2">
      <w:pPr>
        <w:pStyle w:val="3"/>
        <w:numPr>
          <w:ilvl w:val="1"/>
          <w:numId w:val="72"/>
        </w:numPr>
        <w:jc w:val="both"/>
        <w:rPr>
          <w:sz w:val="24"/>
          <w:szCs w:val="24"/>
          <w:lang w:val="en-US"/>
        </w:rPr>
      </w:pPr>
      <w:r>
        <w:rPr>
          <w:sz w:val="24"/>
          <w:szCs w:val="24"/>
          <w:lang w:val="en-US"/>
        </w:rPr>
        <w:t>Engage with procurer in the process of winding down its operation and its preparations for the hand-back;</w:t>
      </w:r>
    </w:p>
    <w:p w14:paraId="4F249440">
      <w:pPr>
        <w:pStyle w:val="3"/>
        <w:numPr>
          <w:ilvl w:val="1"/>
          <w:numId w:val="44"/>
        </w:numPr>
        <w:spacing w:line="360" w:lineRule="auto"/>
        <w:jc w:val="both"/>
        <w:rPr>
          <w:sz w:val="24"/>
          <w:szCs w:val="24"/>
          <w:lang w:val="en-US"/>
        </w:rPr>
      </w:pPr>
      <w:r>
        <w:rPr>
          <w:sz w:val="24"/>
          <w:szCs w:val="24"/>
          <w:lang w:val="en-US"/>
        </w:rPr>
        <w:t xml:space="preserve">determine the state of the assets and any remedial work that may be required by the procurer in accordance with the PPP agreement or expected expenditure from the University Management in this regard; </w:t>
      </w:r>
    </w:p>
    <w:p w14:paraId="49584785">
      <w:pPr>
        <w:pStyle w:val="3"/>
        <w:numPr>
          <w:ilvl w:val="1"/>
          <w:numId w:val="44"/>
        </w:numPr>
        <w:spacing w:line="360" w:lineRule="auto"/>
        <w:jc w:val="both"/>
        <w:rPr>
          <w:sz w:val="24"/>
          <w:szCs w:val="24"/>
          <w:lang w:val="en-US"/>
        </w:rPr>
      </w:pPr>
      <w:r>
        <w:rPr>
          <w:sz w:val="24"/>
          <w:szCs w:val="24"/>
          <w:lang w:val="en-US"/>
        </w:rPr>
        <w:t>The hand-back steering committee shall prepare a report within six months of its establishment and a copy of the report shall be furnished to the PPP UNIT;</w:t>
      </w:r>
    </w:p>
    <w:p w14:paraId="5ABCA536">
      <w:pPr>
        <w:pStyle w:val="3"/>
        <w:numPr>
          <w:ilvl w:val="1"/>
          <w:numId w:val="44"/>
        </w:numPr>
        <w:spacing w:line="360" w:lineRule="auto"/>
        <w:jc w:val="both"/>
        <w:rPr>
          <w:sz w:val="24"/>
          <w:szCs w:val="24"/>
          <w:lang w:val="en-US"/>
        </w:rPr>
      </w:pPr>
      <w:r>
        <w:rPr>
          <w:sz w:val="24"/>
          <w:szCs w:val="24"/>
          <w:lang w:val="en-US"/>
        </w:rPr>
        <w:t xml:space="preserve">make recommendations at least Twenty-four months before the expiry of the PPP agreement, as regards the process for the re-bid of the PPP project, provided any such re-bid seal follow UNN PPP UNIT regulations in force at the time; and </w:t>
      </w:r>
    </w:p>
    <w:p w14:paraId="121AF80A">
      <w:pPr>
        <w:pStyle w:val="3"/>
        <w:numPr>
          <w:ilvl w:val="1"/>
          <w:numId w:val="44"/>
        </w:numPr>
        <w:spacing w:line="360" w:lineRule="auto"/>
        <w:jc w:val="both"/>
        <w:rPr>
          <w:sz w:val="24"/>
          <w:szCs w:val="24"/>
          <w:lang w:val="en-US"/>
        </w:rPr>
      </w:pPr>
      <w:r>
        <w:rPr>
          <w:sz w:val="24"/>
          <w:szCs w:val="24"/>
          <w:lang w:val="en-US"/>
        </w:rPr>
        <w:t>to ensure that the procurer carries out all remedial works as required under the PPP agreement; and.</w:t>
      </w:r>
    </w:p>
    <w:p w14:paraId="2FAA4EEE">
      <w:pPr>
        <w:pStyle w:val="3"/>
        <w:numPr>
          <w:ilvl w:val="1"/>
          <w:numId w:val="44"/>
        </w:numPr>
        <w:spacing w:line="360" w:lineRule="auto"/>
        <w:jc w:val="both"/>
        <w:rPr>
          <w:sz w:val="24"/>
          <w:szCs w:val="24"/>
          <w:lang w:val="en-US"/>
        </w:rPr>
      </w:pPr>
      <w:r>
        <w:rPr>
          <w:sz w:val="24"/>
          <w:szCs w:val="24"/>
          <w:lang w:val="en-US"/>
        </w:rPr>
        <w:t>In circumstances where the PPP agreement is terminated or determined sooner than the duration specified in the PPP agreement, the UNN PPP UNIT shall secure the assets involved in such a manner as to avoid value attrition and ensure that the procurer does not engage in asset-stripping.</w:t>
      </w:r>
    </w:p>
    <w:p w14:paraId="33A2DC40">
      <w:pPr>
        <w:pStyle w:val="2"/>
        <w:rPr>
          <w:color w:val="000000"/>
          <w:sz w:val="24"/>
          <w:szCs w:val="24"/>
        </w:rPr>
      </w:pPr>
    </w:p>
    <w:p w14:paraId="09E84A49">
      <w:pPr>
        <w:pStyle w:val="2"/>
        <w:rPr>
          <w:color w:val="000000"/>
          <w:sz w:val="24"/>
          <w:szCs w:val="24"/>
        </w:rPr>
      </w:pPr>
      <w:bookmarkStart w:id="81" w:name="_Toc80"/>
    </w:p>
    <w:p w14:paraId="2F768D7D">
      <w:pPr>
        <w:pStyle w:val="2"/>
        <w:rPr>
          <w:color w:val="000000"/>
          <w:sz w:val="24"/>
          <w:szCs w:val="24"/>
        </w:rPr>
      </w:pPr>
    </w:p>
    <w:p w14:paraId="721ECC60">
      <w:pPr>
        <w:pStyle w:val="2"/>
        <w:rPr>
          <w:color w:val="000000"/>
          <w:sz w:val="24"/>
          <w:szCs w:val="24"/>
        </w:rPr>
      </w:pPr>
    </w:p>
    <w:p w14:paraId="22936228">
      <w:pPr>
        <w:pStyle w:val="2"/>
        <w:rPr>
          <w:color w:val="000000"/>
          <w:sz w:val="24"/>
          <w:szCs w:val="24"/>
        </w:rPr>
      </w:pPr>
    </w:p>
    <w:p w14:paraId="0B2965F0">
      <w:pPr>
        <w:pStyle w:val="2"/>
        <w:rPr>
          <w:color w:val="000000"/>
          <w:sz w:val="24"/>
          <w:szCs w:val="24"/>
        </w:rPr>
      </w:pPr>
    </w:p>
    <w:p w14:paraId="4E384DA7">
      <w:pPr>
        <w:pStyle w:val="2"/>
        <w:rPr>
          <w:color w:val="000000"/>
          <w:sz w:val="24"/>
          <w:szCs w:val="24"/>
        </w:rPr>
      </w:pPr>
    </w:p>
    <w:p w14:paraId="6107D29D">
      <w:pPr>
        <w:pStyle w:val="2"/>
        <w:rPr>
          <w:color w:val="000000"/>
          <w:sz w:val="24"/>
          <w:szCs w:val="24"/>
        </w:rPr>
      </w:pPr>
    </w:p>
    <w:p w14:paraId="0427ADCD">
      <w:pPr>
        <w:pStyle w:val="2"/>
        <w:rPr>
          <w:color w:val="000000"/>
          <w:sz w:val="24"/>
          <w:szCs w:val="24"/>
        </w:rPr>
      </w:pPr>
    </w:p>
    <w:p w14:paraId="01434002">
      <w:pPr>
        <w:pStyle w:val="2"/>
        <w:rPr>
          <w:color w:val="000000"/>
          <w:sz w:val="24"/>
          <w:szCs w:val="24"/>
        </w:rPr>
      </w:pPr>
    </w:p>
    <w:p w14:paraId="0BFB387D">
      <w:pPr>
        <w:pStyle w:val="2"/>
        <w:rPr>
          <w:color w:val="000000"/>
          <w:sz w:val="24"/>
          <w:szCs w:val="24"/>
        </w:rPr>
      </w:pPr>
    </w:p>
    <w:p w14:paraId="3FB2C9E2">
      <w:pPr>
        <w:pStyle w:val="2"/>
        <w:rPr>
          <w:color w:val="000000"/>
          <w:sz w:val="24"/>
          <w:szCs w:val="24"/>
        </w:rPr>
      </w:pPr>
    </w:p>
    <w:p w14:paraId="48F7CA77">
      <w:pPr>
        <w:pStyle w:val="2"/>
        <w:rPr>
          <w:color w:val="000000"/>
          <w:sz w:val="24"/>
          <w:szCs w:val="24"/>
        </w:rPr>
      </w:pPr>
    </w:p>
    <w:p w14:paraId="651F13EA">
      <w:pPr>
        <w:pStyle w:val="2"/>
        <w:rPr>
          <w:color w:val="000000"/>
          <w:sz w:val="24"/>
          <w:szCs w:val="24"/>
        </w:rPr>
      </w:pPr>
    </w:p>
    <w:p w14:paraId="744BEC4B">
      <w:pPr>
        <w:pStyle w:val="2"/>
        <w:rPr>
          <w:color w:val="000000"/>
          <w:sz w:val="24"/>
          <w:szCs w:val="24"/>
        </w:rPr>
      </w:pPr>
    </w:p>
    <w:p w14:paraId="1FB4F5DB">
      <w:pPr>
        <w:pStyle w:val="2"/>
        <w:rPr>
          <w:color w:val="000000"/>
          <w:sz w:val="24"/>
          <w:szCs w:val="24"/>
        </w:rPr>
      </w:pPr>
    </w:p>
    <w:p w14:paraId="7C4888BA">
      <w:pPr>
        <w:pStyle w:val="2"/>
        <w:rPr>
          <w:color w:val="000000"/>
          <w:sz w:val="24"/>
          <w:szCs w:val="24"/>
        </w:rPr>
      </w:pPr>
      <w:r>
        <w:rPr>
          <w:color w:val="000000"/>
          <w:sz w:val="24"/>
          <w:szCs w:val="24"/>
          <w:lang w:val="en-US"/>
        </w:rPr>
        <w:t xml:space="preserve">10.8. Exit/Clause Termination Payment </w:t>
      </w:r>
      <w:bookmarkEnd w:id="81"/>
    </w:p>
    <w:p w14:paraId="05B2544A">
      <w:pPr>
        <w:pStyle w:val="3"/>
      </w:pPr>
    </w:p>
    <w:tbl>
      <w:tblPr>
        <w:tblStyle w:val="6"/>
        <w:tblW w:w="9360" w:type="dxa"/>
        <w:tblInd w:w="108" w:type="dxa"/>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Layout w:type="fixed"/>
        <w:tblCellMar>
          <w:top w:w="0" w:type="dxa"/>
          <w:left w:w="108" w:type="dxa"/>
          <w:bottom w:w="0" w:type="dxa"/>
          <w:right w:w="108" w:type="dxa"/>
        </w:tblCellMar>
      </w:tblPr>
      <w:tblGrid>
        <w:gridCol w:w="1903"/>
        <w:gridCol w:w="2726"/>
        <w:gridCol w:w="4731"/>
      </w:tblGrid>
      <w:tr w14:paraId="406E0FF8">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01" w:hRule="atLeast"/>
        </w:trPr>
        <w:tc>
          <w:tcPr>
            <w:tcW w:w="1903" w:type="dxa"/>
            <w:tcBorders>
              <w:top w:val="nil"/>
              <w:left w:val="nil"/>
              <w:bottom w:val="dotted" w:color="919191" w:sz="6" w:space="0"/>
              <w:right w:val="single" w:color="919191" w:sz="2" w:space="0"/>
            </w:tcBorders>
            <w:tcMar>
              <w:top w:w="180" w:type="dxa"/>
              <w:left w:w="180" w:type="dxa"/>
              <w:bottom w:w="180" w:type="dxa"/>
              <w:right w:w="180" w:type="dxa"/>
            </w:tcMar>
          </w:tcPr>
          <w:p w14:paraId="25585302">
            <w:pPr>
              <w:pStyle w:val="3"/>
              <w:spacing w:line="360" w:lineRule="auto"/>
            </w:pPr>
            <w:r>
              <w:rPr>
                <w:rFonts w:ascii="Helvetica Neue" w:hAnsi="Helvetica Neue"/>
                <w:b/>
                <w:bCs/>
                <w:sz w:val="24"/>
                <w:szCs w:val="24"/>
              </w:rPr>
              <w:t>Termination</w:t>
            </w:r>
          </w:p>
        </w:tc>
        <w:tc>
          <w:tcPr>
            <w:tcW w:w="2726" w:type="dxa"/>
            <w:tcBorders>
              <w:top w:val="nil"/>
              <w:left w:val="single" w:color="919191" w:sz="2" w:space="0"/>
              <w:bottom w:val="dotted" w:color="919191" w:sz="6" w:space="0"/>
              <w:right w:val="single" w:color="919191" w:sz="2" w:space="0"/>
            </w:tcBorders>
            <w:tcMar>
              <w:top w:w="180" w:type="dxa"/>
              <w:left w:w="180" w:type="dxa"/>
              <w:bottom w:w="180" w:type="dxa"/>
              <w:right w:w="180" w:type="dxa"/>
            </w:tcMar>
          </w:tcPr>
          <w:p w14:paraId="48752913">
            <w:pPr>
              <w:pStyle w:val="3"/>
              <w:spacing w:line="360" w:lineRule="auto"/>
            </w:pPr>
            <w:r>
              <w:rPr>
                <w:rFonts w:ascii="Helvetica Neue" w:hAnsi="Helvetica Neue"/>
                <w:b/>
                <w:bCs/>
                <w:sz w:val="24"/>
                <w:szCs w:val="24"/>
              </w:rPr>
              <w:t>Typical Triggers</w:t>
            </w:r>
          </w:p>
        </w:tc>
        <w:tc>
          <w:tcPr>
            <w:tcW w:w="4730" w:type="dxa"/>
            <w:tcBorders>
              <w:top w:val="nil"/>
              <w:left w:val="single" w:color="919191" w:sz="2" w:space="0"/>
              <w:bottom w:val="dotted" w:color="919191" w:sz="6" w:space="0"/>
              <w:right w:val="nil"/>
            </w:tcBorders>
            <w:tcMar>
              <w:top w:w="180" w:type="dxa"/>
              <w:left w:w="180" w:type="dxa"/>
              <w:bottom w:w="180" w:type="dxa"/>
              <w:right w:w="180" w:type="dxa"/>
            </w:tcMar>
          </w:tcPr>
          <w:p w14:paraId="51B5A454">
            <w:pPr>
              <w:pStyle w:val="3"/>
              <w:spacing w:line="360" w:lineRule="auto"/>
            </w:pPr>
            <w:r>
              <w:rPr>
                <w:rFonts w:ascii="Helvetica Neue" w:hAnsi="Helvetica Neue"/>
                <w:b/>
                <w:bCs/>
                <w:sz w:val="24"/>
                <w:szCs w:val="24"/>
              </w:rPr>
              <w:t>Defining Termination Payment</w:t>
            </w:r>
          </w:p>
        </w:tc>
      </w:tr>
      <w:tr w14:paraId="12191945">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8619" w:hRule="atLeast"/>
        </w:trPr>
        <w:tc>
          <w:tcPr>
            <w:tcW w:w="1903" w:type="dxa"/>
            <w:tcBorders>
              <w:top w:val="dotted" w:color="919191" w:sz="6" w:space="0"/>
              <w:left w:val="nil"/>
              <w:bottom w:val="dotted" w:color="919191" w:sz="6" w:space="0"/>
              <w:right w:val="single" w:color="919191" w:sz="2" w:space="0"/>
            </w:tcBorders>
            <w:shd w:val="clear" w:color="auto" w:fill="EEEEEE"/>
            <w:tcMar>
              <w:top w:w="180" w:type="dxa"/>
              <w:left w:w="180" w:type="dxa"/>
              <w:bottom w:w="180" w:type="dxa"/>
              <w:right w:w="180" w:type="dxa"/>
            </w:tcMar>
          </w:tcPr>
          <w:p w14:paraId="596774AF">
            <w:pPr>
              <w:pStyle w:val="3"/>
              <w:spacing w:line="360" w:lineRule="auto"/>
            </w:pPr>
            <w:r>
              <w:rPr>
                <w:sz w:val="24"/>
                <w:szCs w:val="24"/>
              </w:rPr>
              <w:t>Private Party Default</w:t>
            </w:r>
          </w:p>
        </w:tc>
        <w:tc>
          <w:tcPr>
            <w:tcW w:w="2726" w:type="dxa"/>
            <w:tcBorders>
              <w:top w:val="dotted" w:color="919191" w:sz="6" w:space="0"/>
              <w:left w:val="single" w:color="919191" w:sz="2" w:space="0"/>
              <w:bottom w:val="dotted" w:color="919191" w:sz="6" w:space="0"/>
              <w:right w:val="single" w:color="919191" w:sz="2" w:space="0"/>
            </w:tcBorders>
            <w:shd w:val="clear" w:color="auto" w:fill="EEEEEE"/>
            <w:tcMar>
              <w:top w:w="80" w:type="dxa"/>
              <w:left w:w="80" w:type="dxa"/>
              <w:bottom w:w="80" w:type="dxa"/>
              <w:right w:w="80" w:type="dxa"/>
            </w:tcMar>
          </w:tcPr>
          <w:p w14:paraId="70F44460">
            <w:pPr>
              <w:pStyle w:val="3"/>
              <w:numPr>
                <w:ilvl w:val="0"/>
                <w:numId w:val="73"/>
              </w:numPr>
              <w:spacing w:line="360" w:lineRule="auto"/>
              <w:jc w:val="both"/>
              <w:rPr>
                <w:sz w:val="24"/>
                <w:szCs w:val="24"/>
                <w:lang w:val="en-US"/>
              </w:rPr>
            </w:pPr>
            <w:r>
              <w:rPr>
                <w:sz w:val="24"/>
                <w:szCs w:val="24"/>
                <w:lang w:val="en-US"/>
              </w:rPr>
              <w:t>"Failure to complete construction</w:t>
            </w:r>
          </w:p>
          <w:p w14:paraId="65EFF8CE">
            <w:pPr>
              <w:pStyle w:val="3"/>
              <w:numPr>
                <w:ilvl w:val="0"/>
                <w:numId w:val="73"/>
              </w:numPr>
              <w:spacing w:line="360" w:lineRule="auto"/>
              <w:jc w:val="both"/>
              <w:rPr>
                <w:sz w:val="24"/>
                <w:szCs w:val="24"/>
                <w:lang w:val="en-US"/>
              </w:rPr>
            </w:pPr>
            <w:r>
              <w:rPr>
                <w:sz w:val="24"/>
                <w:szCs w:val="24"/>
                <w:lang w:val="en-US"/>
              </w:rPr>
              <w:t>Persistent failure to meet performance standards</w:t>
            </w:r>
          </w:p>
          <w:p w14:paraId="4228E043">
            <w:pPr>
              <w:pStyle w:val="3"/>
              <w:numPr>
                <w:ilvl w:val="0"/>
                <w:numId w:val="73"/>
              </w:numPr>
              <w:spacing w:line="360" w:lineRule="auto"/>
              <w:jc w:val="both"/>
              <w:rPr>
                <w:sz w:val="24"/>
                <w:szCs w:val="24"/>
                <w:lang w:val="en-US"/>
              </w:rPr>
            </w:pPr>
            <w:r>
              <w:rPr>
                <w:sz w:val="24"/>
                <w:szCs w:val="24"/>
                <w:lang w:val="en-US"/>
              </w:rPr>
              <w:t>Insolvency of project company. Lenders are typically given step-in rights to enable them to remedy problems due to an under-performing contractor—termination only occurs if this is ineffective, or if lenders choose not to do so"</w:t>
            </w:r>
          </w:p>
        </w:tc>
        <w:tc>
          <w:tcPr>
            <w:tcW w:w="4730" w:type="dxa"/>
            <w:tcBorders>
              <w:top w:val="dotted" w:color="919191" w:sz="6" w:space="0"/>
              <w:left w:val="single" w:color="919191" w:sz="2" w:space="0"/>
              <w:bottom w:val="dotted" w:color="919191" w:sz="6" w:space="0"/>
              <w:right w:val="nil"/>
            </w:tcBorders>
            <w:shd w:val="clear" w:color="auto" w:fill="EEEEEE"/>
            <w:tcMar>
              <w:top w:w="180" w:type="dxa"/>
              <w:left w:w="180" w:type="dxa"/>
              <w:bottom w:w="180" w:type="dxa"/>
              <w:right w:w="180" w:type="dxa"/>
            </w:tcMar>
          </w:tcPr>
          <w:p w14:paraId="3530339F">
            <w:pPr>
              <w:pStyle w:val="3"/>
              <w:spacing w:line="360" w:lineRule="auto"/>
              <w:jc w:val="both"/>
              <w:rPr>
                <w:sz w:val="24"/>
                <w:szCs w:val="24"/>
              </w:rPr>
            </w:pPr>
            <w:r>
              <w:rPr>
                <w:sz w:val="24"/>
                <w:szCs w:val="24"/>
                <w:lang w:val="en-US"/>
              </w:rPr>
              <w:t>Termination payments are typically defined to ensure equity-holders bear the burden of default. Lenders may also be exposed to some possible loss—to strengthen their incentives to rectify problems—although this can affect bankability. Options include:</w:t>
            </w:r>
          </w:p>
          <w:p w14:paraId="153926F7">
            <w:pPr>
              <w:pStyle w:val="3"/>
              <w:numPr>
                <w:ilvl w:val="1"/>
                <w:numId w:val="74"/>
              </w:numPr>
              <w:spacing w:line="360" w:lineRule="auto"/>
              <w:jc w:val="both"/>
              <w:rPr>
                <w:sz w:val="24"/>
                <w:szCs w:val="24"/>
                <w:lang w:val="en-US"/>
              </w:rPr>
            </w:pPr>
            <w:r>
              <w:rPr>
                <w:sz w:val="24"/>
                <w:szCs w:val="24"/>
                <w:lang w:val="en-US"/>
              </w:rPr>
              <w:t>Full value or a specified proportion of outstanding debt</w:t>
            </w:r>
          </w:p>
          <w:p w14:paraId="4C98A127">
            <w:pPr>
              <w:pStyle w:val="3"/>
              <w:numPr>
                <w:ilvl w:val="1"/>
                <w:numId w:val="74"/>
              </w:numPr>
              <w:spacing w:line="360" w:lineRule="auto"/>
              <w:jc w:val="both"/>
              <w:rPr>
                <w:sz w:val="24"/>
                <w:szCs w:val="24"/>
                <w:lang w:val="en-US"/>
              </w:rPr>
            </w:pPr>
            <w:r>
              <w:rPr>
                <w:sz w:val="24"/>
                <w:szCs w:val="24"/>
                <w:lang w:val="en-US"/>
              </w:rPr>
              <w:t>Depreciated book value of assets</w:t>
            </w:r>
          </w:p>
          <w:p w14:paraId="166B43B1">
            <w:pPr>
              <w:pStyle w:val="3"/>
              <w:numPr>
                <w:ilvl w:val="1"/>
                <w:numId w:val="74"/>
              </w:numPr>
              <w:spacing w:line="360" w:lineRule="auto"/>
              <w:jc w:val="both"/>
              <w:rPr>
                <w:sz w:val="24"/>
                <w:szCs w:val="24"/>
                <w:lang w:val="en-US"/>
              </w:rPr>
            </w:pPr>
            <w:r>
              <w:rPr>
                <w:sz w:val="24"/>
                <w:szCs w:val="24"/>
                <w:lang w:val="en-US"/>
              </w:rPr>
              <w:t>Net present value of future cash flows (subtracting costs of rectification)</w:t>
            </w:r>
          </w:p>
          <w:p w14:paraId="2C108DB5">
            <w:pPr>
              <w:pStyle w:val="3"/>
              <w:numPr>
                <w:ilvl w:val="1"/>
                <w:numId w:val="74"/>
              </w:numPr>
              <w:spacing w:line="360" w:lineRule="auto"/>
              <w:jc w:val="both"/>
              <w:rPr>
                <w:sz w:val="24"/>
                <w:szCs w:val="24"/>
                <w:lang w:val="en-US"/>
              </w:rPr>
            </w:pPr>
            <w:r>
              <w:rPr>
                <w:sz w:val="24"/>
                <w:szCs w:val="24"/>
                <w:lang w:val="en-US"/>
              </w:rPr>
              <w:t>Proceeds of re-tendering the concession on the open market—thereby also overcoming the possible difficulty of finding budget space for termination payment obligations that are realized unexpectedly</w:t>
            </w:r>
          </w:p>
        </w:tc>
      </w:tr>
      <w:tr w14:paraId="28E56A13">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818" w:hRule="atLeast"/>
        </w:trPr>
        <w:tc>
          <w:tcPr>
            <w:tcW w:w="1903" w:type="dxa"/>
            <w:tcBorders>
              <w:top w:val="dotted" w:color="919191" w:sz="6" w:space="0"/>
              <w:left w:val="nil"/>
              <w:bottom w:val="dotted" w:color="919191" w:sz="6" w:space="0"/>
              <w:right w:val="single" w:color="919191" w:sz="2" w:space="0"/>
            </w:tcBorders>
            <w:tcMar>
              <w:top w:w="180" w:type="dxa"/>
              <w:left w:w="180" w:type="dxa"/>
              <w:bottom w:w="180" w:type="dxa"/>
              <w:right w:w="180" w:type="dxa"/>
            </w:tcMar>
          </w:tcPr>
          <w:p w14:paraId="67EB2E9A">
            <w:pPr>
              <w:pStyle w:val="3"/>
              <w:spacing w:line="360" w:lineRule="auto"/>
            </w:pPr>
            <w:r>
              <w:rPr>
                <w:sz w:val="24"/>
                <w:szCs w:val="24"/>
              </w:rPr>
              <w:t>Public Party Default</w:t>
            </w:r>
          </w:p>
        </w:tc>
        <w:tc>
          <w:tcPr>
            <w:tcW w:w="2726" w:type="dxa"/>
            <w:tcBorders>
              <w:top w:val="dotted" w:color="919191" w:sz="6" w:space="0"/>
              <w:left w:val="single" w:color="919191" w:sz="2" w:space="0"/>
              <w:bottom w:val="dotted" w:color="919191" w:sz="6" w:space="0"/>
              <w:right w:val="single" w:color="919191" w:sz="2" w:space="0"/>
            </w:tcBorders>
            <w:tcMar>
              <w:top w:w="180" w:type="dxa"/>
              <w:left w:w="180" w:type="dxa"/>
              <w:bottom w:w="180" w:type="dxa"/>
              <w:right w:w="180" w:type="dxa"/>
            </w:tcMar>
          </w:tcPr>
          <w:p w14:paraId="4467AF2C">
            <w:pPr>
              <w:pStyle w:val="3"/>
              <w:spacing w:line="360" w:lineRule="auto"/>
              <w:jc w:val="both"/>
            </w:pPr>
            <w:r>
              <w:rPr>
                <w:sz w:val="24"/>
                <w:szCs w:val="24"/>
              </w:rPr>
              <w:t>Public party fails to meet its obligations under the contract.</w:t>
            </w:r>
          </w:p>
        </w:tc>
        <w:tc>
          <w:tcPr>
            <w:tcW w:w="4730" w:type="dxa"/>
            <w:tcBorders>
              <w:top w:val="dotted" w:color="919191" w:sz="6" w:space="0"/>
              <w:left w:val="single" w:color="919191" w:sz="2" w:space="0"/>
              <w:bottom w:val="dotted" w:color="919191" w:sz="6" w:space="0"/>
              <w:right w:val="nil"/>
            </w:tcBorders>
            <w:tcMar>
              <w:top w:w="180" w:type="dxa"/>
              <w:left w:w="180" w:type="dxa"/>
              <w:bottom w:w="180" w:type="dxa"/>
              <w:right w:w="180" w:type="dxa"/>
            </w:tcMar>
          </w:tcPr>
          <w:p w14:paraId="58B81408">
            <w:pPr>
              <w:pStyle w:val="3"/>
              <w:spacing w:line="360" w:lineRule="auto"/>
              <w:jc w:val="both"/>
            </w:pPr>
            <w:r>
              <w:rPr>
                <w:sz w:val="24"/>
                <w:szCs w:val="24"/>
              </w:rPr>
              <w:t>A fair contract should ensure the private party does not lose out if the public party chooses to default. Termination payments in this case are typically set to the value of debt plus some measure of equity, and may also include lost future profits (if any)</w:t>
            </w:r>
          </w:p>
        </w:tc>
      </w:tr>
      <w:tr w14:paraId="66C46E5A">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541" w:hRule="atLeast"/>
        </w:trPr>
        <w:tc>
          <w:tcPr>
            <w:tcW w:w="1903" w:type="dxa"/>
            <w:tcBorders>
              <w:top w:val="dotted" w:color="919191" w:sz="6" w:space="0"/>
              <w:left w:val="nil"/>
              <w:bottom w:val="dotted" w:color="919191" w:sz="6" w:space="0"/>
              <w:right w:val="single" w:color="919191" w:sz="2" w:space="0"/>
            </w:tcBorders>
            <w:shd w:val="clear" w:color="auto" w:fill="EEEEEE"/>
            <w:tcMar>
              <w:top w:w="180" w:type="dxa"/>
              <w:left w:w="180" w:type="dxa"/>
              <w:bottom w:w="180" w:type="dxa"/>
              <w:right w:w="180" w:type="dxa"/>
            </w:tcMar>
          </w:tcPr>
          <w:p w14:paraId="0423155A">
            <w:pPr>
              <w:pStyle w:val="3"/>
              <w:spacing w:line="360" w:lineRule="auto"/>
            </w:pPr>
            <w:r>
              <w:rPr>
                <w:sz w:val="24"/>
                <w:szCs w:val="24"/>
              </w:rPr>
              <w:t>Termination for public interest</w:t>
            </w:r>
          </w:p>
        </w:tc>
        <w:tc>
          <w:tcPr>
            <w:tcW w:w="2726" w:type="dxa"/>
            <w:tcBorders>
              <w:top w:val="dotted" w:color="919191" w:sz="6" w:space="0"/>
              <w:left w:val="single" w:color="919191" w:sz="2" w:space="0"/>
              <w:bottom w:val="dotted" w:color="919191" w:sz="6" w:space="0"/>
              <w:right w:val="single" w:color="919191" w:sz="2" w:space="0"/>
            </w:tcBorders>
            <w:shd w:val="clear" w:color="auto" w:fill="EEEEEE"/>
            <w:tcMar>
              <w:top w:w="180" w:type="dxa"/>
              <w:left w:w="180" w:type="dxa"/>
              <w:bottom w:w="180" w:type="dxa"/>
              <w:right w:w="180" w:type="dxa"/>
            </w:tcMar>
          </w:tcPr>
          <w:p w14:paraId="50F6C4E2">
            <w:pPr>
              <w:pStyle w:val="3"/>
              <w:spacing w:line="360" w:lineRule="auto"/>
              <w:jc w:val="both"/>
            </w:pPr>
            <w:r>
              <w:rPr>
                <w:sz w:val="24"/>
                <w:szCs w:val="24"/>
              </w:rPr>
              <w:t>Many PP or public procurement laws allow the contracting entity to terminate for reasons of public interest.</w:t>
            </w:r>
          </w:p>
        </w:tc>
        <w:tc>
          <w:tcPr>
            <w:tcW w:w="4730" w:type="dxa"/>
            <w:tcBorders>
              <w:top w:val="dotted" w:color="919191" w:sz="6" w:space="0"/>
              <w:left w:val="single" w:color="919191" w:sz="2" w:space="0"/>
              <w:bottom w:val="dotted" w:color="919191" w:sz="6" w:space="0"/>
              <w:right w:val="nil"/>
            </w:tcBorders>
            <w:shd w:val="clear" w:color="auto" w:fill="EEEEEE"/>
            <w:tcMar>
              <w:top w:w="180" w:type="dxa"/>
              <w:left w:w="180" w:type="dxa"/>
              <w:bottom w:w="180" w:type="dxa"/>
              <w:right w:w="180" w:type="dxa"/>
            </w:tcMar>
          </w:tcPr>
          <w:p w14:paraId="25EBEBDE">
            <w:pPr>
              <w:pStyle w:val="3"/>
              <w:spacing w:line="360" w:lineRule="auto"/>
              <w:jc w:val="both"/>
            </w:pPr>
            <w:r>
              <w:rPr>
                <w:sz w:val="24"/>
                <w:szCs w:val="24"/>
              </w:rPr>
              <w:t>Typically, should be treated in the same way as public party default; otherwise creates perverse incentives to voluntarily terminate instead of default (or vice versa)</w:t>
            </w:r>
          </w:p>
        </w:tc>
      </w:tr>
      <w:tr w14:paraId="00721C37">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426" w:hRule="atLeast"/>
        </w:trPr>
        <w:tc>
          <w:tcPr>
            <w:tcW w:w="1903" w:type="dxa"/>
            <w:tcBorders>
              <w:top w:val="dotted" w:color="919191" w:sz="6" w:space="0"/>
              <w:left w:val="nil"/>
              <w:bottom w:val="nil"/>
              <w:right w:val="single" w:color="919191" w:sz="2" w:space="0"/>
            </w:tcBorders>
            <w:tcMar>
              <w:top w:w="180" w:type="dxa"/>
              <w:left w:w="180" w:type="dxa"/>
              <w:bottom w:w="180" w:type="dxa"/>
              <w:right w:w="180" w:type="dxa"/>
            </w:tcMar>
          </w:tcPr>
          <w:p w14:paraId="18CA5035">
            <w:pPr>
              <w:pStyle w:val="3"/>
              <w:spacing w:line="360" w:lineRule="auto"/>
            </w:pPr>
            <w:r>
              <w:rPr>
                <w:sz w:val="24"/>
                <w:szCs w:val="24"/>
              </w:rPr>
              <w:t>Prolonged force majeure damage</w:t>
            </w:r>
          </w:p>
        </w:tc>
        <w:tc>
          <w:tcPr>
            <w:tcW w:w="2726" w:type="dxa"/>
            <w:tcBorders>
              <w:top w:val="dotted" w:color="919191" w:sz="6" w:space="0"/>
              <w:left w:val="single" w:color="919191" w:sz="2" w:space="0"/>
              <w:bottom w:val="nil"/>
              <w:right w:val="single" w:color="919191" w:sz="2" w:space="0"/>
            </w:tcBorders>
            <w:tcMar>
              <w:top w:w="180" w:type="dxa"/>
              <w:left w:w="180" w:type="dxa"/>
              <w:bottom w:w="180" w:type="dxa"/>
              <w:right w:w="180" w:type="dxa"/>
            </w:tcMar>
          </w:tcPr>
          <w:p w14:paraId="2473CF1B">
            <w:pPr>
              <w:pStyle w:val="3"/>
              <w:spacing w:line="360" w:lineRule="auto"/>
              <w:jc w:val="both"/>
            </w:pPr>
            <w:r>
              <w:rPr>
                <w:sz w:val="24"/>
                <w:szCs w:val="24"/>
              </w:rPr>
              <w:t>Should be carefully defined in the contract and limited to uninsurable, prolonged force majeure events that preclude performance of obligations</w:t>
            </w:r>
          </w:p>
        </w:tc>
        <w:tc>
          <w:tcPr>
            <w:tcW w:w="4730" w:type="dxa"/>
            <w:tcBorders>
              <w:top w:val="dotted" w:color="919191" w:sz="6" w:space="0"/>
              <w:left w:val="single" w:color="919191" w:sz="2" w:space="0"/>
              <w:bottom w:val="nil"/>
              <w:right w:val="nil"/>
            </w:tcBorders>
            <w:tcMar>
              <w:top w:w="180" w:type="dxa"/>
              <w:left w:w="180" w:type="dxa"/>
              <w:bottom w:w="180" w:type="dxa"/>
              <w:right w:w="180" w:type="dxa"/>
            </w:tcMar>
          </w:tcPr>
          <w:p w14:paraId="09DD0E16">
            <w:pPr>
              <w:pStyle w:val="3"/>
              <w:spacing w:line="360" w:lineRule="auto"/>
              <w:jc w:val="both"/>
            </w:pPr>
            <w:r>
              <w:rPr>
                <w:sz w:val="24"/>
                <w:szCs w:val="24"/>
              </w:rPr>
              <w:t>Typically, in between the two options above, since neither party is at fault.</w:t>
            </w:r>
          </w:p>
        </w:tc>
      </w:tr>
    </w:tbl>
    <w:p w14:paraId="34B122A1">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0A8A3A42">
      <w:pPr>
        <w:pStyle w:val="3"/>
      </w:pPr>
    </w:p>
    <w:p w14:paraId="73E9A4B1">
      <w:pPr>
        <w:pStyle w:val="3"/>
      </w:pPr>
    </w:p>
    <w:p w14:paraId="65601106">
      <w:pPr>
        <w:pStyle w:val="3"/>
      </w:pPr>
    </w:p>
    <w:p w14:paraId="3179F8DC">
      <w:pPr>
        <w:pStyle w:val="3"/>
        <w:rPr>
          <w:lang w:eastAsia="zh-CN"/>
        </w:rPr>
      </w:pPr>
    </w:p>
    <w:p w14:paraId="2F4CD60E">
      <w:pPr>
        <w:pStyle w:val="3"/>
        <w:rPr>
          <w:lang w:eastAsia="zh-CN"/>
        </w:rPr>
      </w:pPr>
    </w:p>
    <w:p w14:paraId="31BCB187">
      <w:pPr>
        <w:pStyle w:val="3"/>
      </w:pPr>
    </w:p>
    <w:p w14:paraId="2EF344BC">
      <w:pPr>
        <w:pStyle w:val="3"/>
      </w:pPr>
    </w:p>
    <w:p w14:paraId="45A0BF15">
      <w:pPr>
        <w:pStyle w:val="3"/>
      </w:pPr>
    </w:p>
    <w:p w14:paraId="42CF59DA">
      <w:pPr>
        <w:pStyle w:val="3"/>
      </w:pPr>
    </w:p>
    <w:p w14:paraId="27B6D624">
      <w:pPr>
        <w:pStyle w:val="22"/>
      </w:pPr>
    </w:p>
    <w:p w14:paraId="2C41E3AB">
      <w:pPr>
        <w:pStyle w:val="24"/>
        <w:spacing w:line="360" w:lineRule="auto"/>
        <w:rPr>
          <w:rFonts w:ascii="Helvetica Neue" w:hAnsi="Helvetica Neue" w:eastAsia="Helvetica Neue" w:cs="Helvetica Neue"/>
          <w:b/>
          <w:bCs/>
          <w:color w:val="000000"/>
        </w:rPr>
      </w:pPr>
      <w:bookmarkStart w:id="82" w:name="_Toc81"/>
      <w:r>
        <w:rPr>
          <w:rFonts w:ascii="Helvetica Neue" w:hAnsi="Helvetica Neue"/>
          <w:b/>
          <w:bCs/>
          <w:color w:val="000000"/>
          <w:lang w:val="en-US"/>
        </w:rPr>
        <w:t>11.0. monitoring, evaluation and reporting</w:t>
      </w:r>
      <w:bookmarkEnd w:id="82"/>
    </w:p>
    <w:p w14:paraId="76C7E09F">
      <w:pPr>
        <w:pStyle w:val="2"/>
        <w:spacing w:line="360" w:lineRule="auto"/>
        <w:rPr>
          <w:color w:val="000000"/>
        </w:rPr>
      </w:pPr>
      <w:bookmarkStart w:id="83" w:name="_Toc82"/>
      <w:r>
        <w:rPr>
          <w:color w:val="000000"/>
          <w:lang w:val="en-US"/>
        </w:rPr>
        <w:t>11.1. Purpose and Scope</w:t>
      </w:r>
      <w:bookmarkEnd w:id="83"/>
    </w:p>
    <w:p w14:paraId="6D013B3B">
      <w:pPr>
        <w:pStyle w:val="3"/>
      </w:pPr>
    </w:p>
    <w:p w14:paraId="634A2FDB">
      <w:pPr>
        <w:pStyle w:val="3"/>
        <w:spacing w:line="360" w:lineRule="auto"/>
        <w:jc w:val="both"/>
        <w:rPr>
          <w:sz w:val="24"/>
          <w:szCs w:val="24"/>
        </w:rPr>
      </w:pPr>
      <w:r>
        <w:rPr>
          <w:sz w:val="24"/>
          <w:szCs w:val="24"/>
          <w:lang w:val="en-US"/>
        </w:rPr>
        <w:t xml:space="preserve">Purpose: The Monitoring and Evaluation framework for PPP projects in the University of Nigeria establishes a comprehensive guide for monitoring and evaluating public-private partnership projects within the University of Nigeria. It shall ensure systematic tracking of project performance while promoting strategic focus by establishing logical connections between resource inputs, implementation activities, delivered outputs, achieved outcomes, and ultimate impacts. </w:t>
      </w:r>
    </w:p>
    <w:p w14:paraId="301AD447">
      <w:pPr>
        <w:pStyle w:val="3"/>
        <w:spacing w:line="360" w:lineRule="auto"/>
        <w:jc w:val="both"/>
        <w:rPr>
          <w:sz w:val="24"/>
          <w:szCs w:val="24"/>
        </w:rPr>
      </w:pPr>
      <w:r>
        <w:rPr>
          <w:sz w:val="24"/>
          <w:szCs w:val="24"/>
          <w:lang w:val="en-US"/>
        </w:rPr>
        <w:t xml:space="preserve">Scope: This monitoring and evaluation policy applies to all PPP projects undertaken by the University of Nigeria and covers the entire project lifecycle from planning and procurements through implementation, operation and closure. </w:t>
      </w:r>
    </w:p>
    <w:p w14:paraId="104E7AF7">
      <w:pPr>
        <w:pStyle w:val="3"/>
      </w:pPr>
    </w:p>
    <w:p w14:paraId="2DD02109">
      <w:pPr>
        <w:pStyle w:val="2"/>
        <w:spacing w:line="360" w:lineRule="auto"/>
        <w:rPr>
          <w:color w:val="000000"/>
          <w:sz w:val="24"/>
          <w:szCs w:val="24"/>
        </w:rPr>
      </w:pPr>
      <w:bookmarkStart w:id="84" w:name="_Toc83"/>
      <w:r>
        <w:rPr>
          <w:color w:val="000000"/>
          <w:sz w:val="24"/>
          <w:szCs w:val="24"/>
          <w:lang w:val="en-US"/>
        </w:rPr>
        <w:t xml:space="preserve">11.2. Monitoring Framework </w:t>
      </w:r>
      <w:bookmarkEnd w:id="84"/>
    </w:p>
    <w:p w14:paraId="24901ECD">
      <w:pPr>
        <w:pStyle w:val="3"/>
        <w:spacing w:line="360" w:lineRule="auto"/>
        <w:jc w:val="both"/>
        <w:rPr>
          <w:sz w:val="24"/>
          <w:szCs w:val="24"/>
        </w:rPr>
      </w:pPr>
      <w:r>
        <w:rPr>
          <w:rFonts w:ascii="Helvetica Neue" w:hAnsi="Helvetica Neue"/>
          <w:b/>
          <w:bCs/>
          <w:sz w:val="24"/>
          <w:szCs w:val="24"/>
          <w:lang w:val="en-US"/>
        </w:rPr>
        <w:t>University-level results framework</w:t>
      </w:r>
      <w:r>
        <w:rPr>
          <w:sz w:val="24"/>
          <w:szCs w:val="24"/>
          <w:lang w:val="en-US"/>
        </w:rPr>
        <w:t>: The University shall maintain an overarching results chain aligned with its strategic goals for PPP (See logical framework in Annexe B).</w:t>
      </w:r>
    </w:p>
    <w:p w14:paraId="47FA71B8">
      <w:pPr>
        <w:pStyle w:val="3"/>
        <w:spacing w:line="360" w:lineRule="auto"/>
        <w:jc w:val="both"/>
        <w:rPr>
          <w:sz w:val="24"/>
          <w:szCs w:val="24"/>
        </w:rPr>
      </w:pPr>
      <w:r>
        <w:rPr>
          <w:rFonts w:ascii="Helvetica Neue" w:hAnsi="Helvetica Neue"/>
          <w:b/>
          <w:bCs/>
          <w:sz w:val="24"/>
          <w:szCs w:val="24"/>
          <w:lang w:val="en-US"/>
        </w:rPr>
        <w:t>Project-level results chain development</w:t>
      </w:r>
      <w:r>
        <w:rPr>
          <w:sz w:val="24"/>
          <w:szCs w:val="24"/>
          <w:lang w:val="en-US"/>
        </w:rPr>
        <w:t>: Each PPP project shall develop its specific results chain that clearly shows project inputs, activities, outputs, outcomes and impacts. Project level results chain should align with university results framework. Therefore, each PPP project shall develop its specific results chain by Identifying which university-level outcomes and impacts the project primarily contributes to and selecting relevant indicators from the institutional menu to develop project-specific outcomes and impacts that clearly contribute to the achievement of the university</w:t>
      </w:r>
      <w:r>
        <w:rPr>
          <w:sz w:val="24"/>
          <w:szCs w:val="24"/>
          <w:rtl/>
        </w:rPr>
        <w:t>’</w:t>
      </w:r>
      <w:r>
        <w:rPr>
          <w:sz w:val="24"/>
          <w:szCs w:val="24"/>
          <w:lang w:val="en-US"/>
        </w:rPr>
        <w:t>s goals. Further, the team shall articulate how project activities and outputs logically lead to university strategic outcomes and quantifying the project's expected contribution to overall institutional performance. This adaptation process ensures that irrespective of the `nature of the project, individual project successes aggregate into achievement or university</w:t>
      </w:r>
      <w:r>
        <w:rPr>
          <w:sz w:val="24"/>
          <w:szCs w:val="24"/>
          <w:rtl/>
        </w:rPr>
        <w:t>’</w:t>
      </w:r>
      <w:r>
        <w:rPr>
          <w:sz w:val="24"/>
          <w:szCs w:val="24"/>
          <w:lang w:val="en-US"/>
        </w:rPr>
        <w:t xml:space="preserve">s strategic goals and institutional transformation. Each project becomes a building block in the larger vision. </w:t>
      </w:r>
    </w:p>
    <w:p w14:paraId="6DE9721D">
      <w:pPr>
        <w:pStyle w:val="3"/>
        <w:spacing w:line="360" w:lineRule="auto"/>
        <w:jc w:val="both"/>
        <w:rPr>
          <w:sz w:val="24"/>
          <w:szCs w:val="24"/>
        </w:rPr>
      </w:pPr>
      <w:r>
        <w:rPr>
          <w:sz w:val="24"/>
          <w:szCs w:val="24"/>
          <w:lang w:val="en-US"/>
        </w:rPr>
        <w:t xml:space="preserve">Every PPP Project shall establish smart (Specific, measurable, achievable, relevant, and time-bound) indicators at each level of the results chain. This shall be done at the planning phase when the project is being designed.  </w:t>
      </w:r>
    </w:p>
    <w:p w14:paraId="2FCBAD4F">
      <w:pPr>
        <w:pStyle w:val="3"/>
        <w:spacing w:line="360" w:lineRule="auto"/>
        <w:jc w:val="both"/>
        <w:rPr>
          <w:sz w:val="24"/>
          <w:szCs w:val="24"/>
        </w:rPr>
      </w:pPr>
      <w:r>
        <w:rPr>
          <w:rFonts w:ascii="Helvetica Neue" w:hAnsi="Helvetica Neue"/>
          <w:b/>
          <w:bCs/>
          <w:sz w:val="24"/>
          <w:szCs w:val="24"/>
          <w:lang w:val="en-US"/>
        </w:rPr>
        <w:t>Collection of baseline data:</w:t>
      </w:r>
      <w:r>
        <w:rPr>
          <w:sz w:val="24"/>
          <w:szCs w:val="24"/>
          <w:lang w:val="en-US"/>
        </w:rPr>
        <w:t xml:space="preserve"> For effective progress tracking, the PPP Unit of the University of Nigeria shall gather baseline data for core indicators before any PPP is implemented. This is important for project tracking.</w:t>
      </w:r>
    </w:p>
    <w:p w14:paraId="33C48365">
      <w:pPr>
        <w:pStyle w:val="3"/>
        <w:spacing w:line="360" w:lineRule="auto"/>
        <w:jc w:val="both"/>
        <w:rPr>
          <w:sz w:val="24"/>
          <w:szCs w:val="24"/>
        </w:rPr>
      </w:pPr>
      <w:r>
        <w:rPr>
          <w:rFonts w:ascii="Helvetica Neue" w:hAnsi="Helvetica Neue"/>
          <w:b/>
          <w:bCs/>
          <w:sz w:val="24"/>
          <w:szCs w:val="24"/>
          <w:lang w:val="en-US"/>
        </w:rPr>
        <w:t>Monitoring of inputs</w:t>
      </w:r>
      <w:r>
        <w:rPr>
          <w:sz w:val="24"/>
          <w:szCs w:val="24"/>
          <w:lang w:val="en-US"/>
        </w:rPr>
        <w:t xml:space="preserve">: For all PPP projects, M&amp;E Officers shall monitor inputs made to ensure that the necessary resources are available and used as planned. They shall maintain a detailed record of resource allocation, including financial, human, and material resources; regularly compare actual spending against the planned budget to identify discrepancies and conduct periodic audits to ensure that inputs are being efficiently utilized and are not being diverted or wasted.  </w:t>
      </w:r>
    </w:p>
    <w:p w14:paraId="14F18F6A">
      <w:pPr>
        <w:pStyle w:val="3"/>
        <w:spacing w:line="360" w:lineRule="auto"/>
        <w:jc w:val="both"/>
        <w:rPr>
          <w:sz w:val="24"/>
          <w:szCs w:val="24"/>
        </w:rPr>
      </w:pPr>
      <w:r>
        <w:rPr>
          <w:rFonts w:ascii="Helvetica Neue" w:hAnsi="Helvetica Neue"/>
          <w:b/>
          <w:bCs/>
          <w:sz w:val="24"/>
          <w:szCs w:val="24"/>
          <w:lang w:val="en-US"/>
        </w:rPr>
        <w:t>Monitoring of activities</w:t>
      </w:r>
      <w:r>
        <w:rPr>
          <w:sz w:val="24"/>
          <w:szCs w:val="24"/>
          <w:lang w:val="en-US"/>
        </w:rPr>
        <w:t>: M&amp;E officers shall monitor tasks and actions in all PPP projects to ensure that they are progressing as planned and are completed within the required timelines. They shall set clear milestones for all activities; document activity</w:t>
      </w:r>
      <w:r>
        <w:rPr>
          <w:sz w:val="24"/>
          <w:szCs w:val="24"/>
          <w:rtl/>
        </w:rPr>
        <w:t>’</w:t>
      </w:r>
      <w:r>
        <w:rPr>
          <w:sz w:val="24"/>
          <w:szCs w:val="24"/>
          <w:lang w:val="en-US"/>
        </w:rPr>
        <w:t xml:space="preserve">s performance against benchmarks and ensure regular meetings between public and private sector stakeholders to discuss progress, challenges, and adjustments as well as. </w:t>
      </w:r>
    </w:p>
    <w:p w14:paraId="12178132">
      <w:pPr>
        <w:pStyle w:val="3"/>
        <w:spacing w:line="360" w:lineRule="auto"/>
        <w:jc w:val="both"/>
        <w:rPr>
          <w:sz w:val="24"/>
          <w:szCs w:val="24"/>
        </w:rPr>
      </w:pPr>
      <w:r>
        <w:rPr>
          <w:rFonts w:ascii="Helvetica Neue" w:hAnsi="Helvetica Neue"/>
          <w:b/>
          <w:bCs/>
          <w:sz w:val="24"/>
          <w:szCs w:val="24"/>
          <w:lang w:val="en-US"/>
        </w:rPr>
        <w:t>Monitoring of Outputs:</w:t>
      </w:r>
      <w:r>
        <w:rPr>
          <w:sz w:val="24"/>
          <w:szCs w:val="24"/>
          <w:lang w:val="en-US"/>
        </w:rPr>
        <w:t xml:space="preserve"> All outputs from PPP projects in the University shall be monitored to ensure that projects are on track to achieve their goals. M&amp;E officers shall establish and follow a reporting system for tracking output indicators and compare actual outputs to the planned targets to assess the efficiency and timeliness of delivery. In addition, they shall collect feedback from stakeholders involved in output delivery to ensure quality and relevance.</w:t>
      </w:r>
    </w:p>
    <w:p w14:paraId="2AC40AAC">
      <w:pPr>
        <w:pStyle w:val="3"/>
        <w:spacing w:line="360" w:lineRule="auto"/>
        <w:jc w:val="both"/>
        <w:rPr>
          <w:sz w:val="24"/>
          <w:szCs w:val="24"/>
        </w:rPr>
      </w:pPr>
      <w:r>
        <w:rPr>
          <w:rFonts w:ascii="Helvetica Neue" w:hAnsi="Helvetica Neue"/>
          <w:b/>
          <w:bCs/>
          <w:sz w:val="24"/>
          <w:szCs w:val="24"/>
          <w:lang w:val="en-US"/>
        </w:rPr>
        <w:t xml:space="preserve">Monitoring outcomes: </w:t>
      </w:r>
      <w:r>
        <w:rPr>
          <w:sz w:val="24"/>
          <w:szCs w:val="24"/>
          <w:lang w:val="en-US"/>
        </w:rPr>
        <w:t xml:space="preserve"> M&amp; E officers shall monitor short-term outcomes by tracking the outcome indicators agreed for the project to determine whether the project is on the path of achieving set objectives. They shall also plan and conduct an outcome evaluation at mid-point and end-point of the initiative to assess achievement of key outcomes.</w:t>
      </w:r>
    </w:p>
    <w:p w14:paraId="3DDA221B">
      <w:pPr>
        <w:pStyle w:val="3"/>
        <w:spacing w:line="360" w:lineRule="auto"/>
        <w:jc w:val="both"/>
        <w:rPr>
          <w:sz w:val="24"/>
          <w:szCs w:val="24"/>
        </w:rPr>
      </w:pPr>
      <w:r>
        <w:rPr>
          <w:rFonts w:ascii="Helvetica Neue" w:hAnsi="Helvetica Neue"/>
          <w:b/>
          <w:bCs/>
          <w:sz w:val="24"/>
          <w:szCs w:val="24"/>
          <w:lang w:val="en-US"/>
        </w:rPr>
        <w:t>Monitoring Impact indicators</w:t>
      </w:r>
      <w:r>
        <w:rPr>
          <w:sz w:val="24"/>
          <w:szCs w:val="24"/>
          <w:lang w:val="en-US"/>
        </w:rPr>
        <w:t>: M&amp;E officers shall monitor proxy indicators</w:t>
      </w:r>
      <w:r>
        <w:rPr>
          <w:rFonts w:ascii="Helvetica Neue" w:hAnsi="Helvetica Neue"/>
          <w:b/>
          <w:bCs/>
          <w:sz w:val="24"/>
          <w:szCs w:val="24"/>
          <w:lang w:val="en-US"/>
        </w:rPr>
        <w:t xml:space="preserve"> or </w:t>
      </w:r>
      <w:r>
        <w:rPr>
          <w:sz w:val="24"/>
          <w:szCs w:val="24"/>
          <w:lang w:val="en-US"/>
        </w:rPr>
        <w:t xml:space="preserve">leading indicators that suggest impacts are likely to occur and compare actual findings with planned impacts. </w:t>
      </w:r>
    </w:p>
    <w:p w14:paraId="745B336E">
      <w:pPr>
        <w:pStyle w:val="3"/>
        <w:spacing w:line="360" w:lineRule="auto"/>
        <w:jc w:val="both"/>
        <w:rPr>
          <w:sz w:val="24"/>
          <w:szCs w:val="24"/>
        </w:rPr>
      </w:pPr>
      <w:r>
        <w:rPr>
          <w:rFonts w:ascii="Helvetica Neue" w:hAnsi="Helvetica Neue"/>
          <w:b/>
          <w:bCs/>
          <w:sz w:val="24"/>
          <w:szCs w:val="24"/>
          <w:lang w:val="en-US"/>
        </w:rPr>
        <w:t>Conducting monitoring activities</w:t>
      </w:r>
      <w:r>
        <w:rPr>
          <w:sz w:val="24"/>
          <w:szCs w:val="24"/>
          <w:lang w:val="en-US"/>
        </w:rPr>
        <w:t>: Monitoring shall be done throughout the project duration on agreed indicators and at agreed times. Monitoring shall be done collaboratively with other development partners and key stakeholders using processes that are robust enough to manage potential biases and conflicts of interest.  . A range of monitoring tools including project dashboards, risk registers, issue logs, stakeholder feedback systems and financial monitoring systems shall be selected and maintained for every PPP project going on in the university</w:t>
      </w:r>
    </w:p>
    <w:p w14:paraId="69D10A0E">
      <w:pPr>
        <w:pStyle w:val="3"/>
        <w:spacing w:line="360" w:lineRule="auto"/>
        <w:jc w:val="both"/>
        <w:rPr>
          <w:sz w:val="24"/>
          <w:szCs w:val="24"/>
        </w:rPr>
      </w:pPr>
      <w:r>
        <w:rPr>
          <w:rFonts w:ascii="Helvetica Neue" w:hAnsi="Helvetica Neue"/>
          <w:b/>
          <w:bCs/>
          <w:sz w:val="24"/>
          <w:szCs w:val="24"/>
          <w:lang w:val="en-US"/>
        </w:rPr>
        <w:t>Coordination of monitoring activities</w:t>
      </w:r>
      <w:r>
        <w:rPr>
          <w:sz w:val="24"/>
          <w:szCs w:val="24"/>
          <w:lang w:val="en-US"/>
        </w:rPr>
        <w:t xml:space="preserve">: Monitoring shall be coordinated at university level to avoid duplication of efforts and reports. At intervals, the PPP Unit shall call for submission of data and information on the various indicators for all PPP projects. </w:t>
      </w:r>
    </w:p>
    <w:p w14:paraId="137BA81C">
      <w:pPr>
        <w:pStyle w:val="3"/>
        <w:spacing w:line="360" w:lineRule="auto"/>
        <w:jc w:val="both"/>
        <w:rPr>
          <w:sz w:val="24"/>
          <w:szCs w:val="24"/>
        </w:rPr>
      </w:pPr>
      <w:r>
        <w:rPr>
          <w:rFonts w:ascii="Helvetica Neue" w:hAnsi="Helvetica Neue"/>
          <w:b/>
          <w:bCs/>
          <w:sz w:val="24"/>
          <w:szCs w:val="24"/>
          <w:lang w:val="en-US"/>
        </w:rPr>
        <w:t>Early warning system</w:t>
      </w:r>
      <w:r>
        <w:rPr>
          <w:sz w:val="24"/>
          <w:szCs w:val="24"/>
          <w:lang w:val="en-US"/>
        </w:rPr>
        <w:t xml:space="preserve">: an early warning system should be established for every PPP project to detect potential risks or problems at an early stage, enabling timely interventions to mitigate negative outcomes. All PPP project managers must manage uncertainties, prevent crises, and ensure the success of their projects by allowing stakeholders to respond proactively to emerging challenges. Any identified gaps should be rapidly investigated through field visits. </w:t>
      </w:r>
    </w:p>
    <w:p w14:paraId="09ECF8AA">
      <w:pPr>
        <w:pStyle w:val="2"/>
      </w:pPr>
    </w:p>
    <w:p w14:paraId="630C57F7">
      <w:pPr>
        <w:pStyle w:val="2"/>
        <w:spacing w:line="360" w:lineRule="auto"/>
        <w:rPr>
          <w:color w:val="000000"/>
          <w:sz w:val="24"/>
          <w:szCs w:val="24"/>
        </w:rPr>
      </w:pPr>
      <w:bookmarkStart w:id="85" w:name="_Toc84"/>
      <w:r>
        <w:rPr>
          <w:color w:val="000000"/>
          <w:sz w:val="24"/>
          <w:szCs w:val="24"/>
          <w:lang w:val="en-US"/>
        </w:rPr>
        <w:t xml:space="preserve">11.3. Evaluation Framework </w:t>
      </w:r>
      <w:bookmarkEnd w:id="85"/>
    </w:p>
    <w:p w14:paraId="6B978023">
      <w:pPr>
        <w:pStyle w:val="3"/>
        <w:spacing w:line="360" w:lineRule="auto"/>
        <w:jc w:val="both"/>
        <w:rPr>
          <w:sz w:val="24"/>
          <w:szCs w:val="24"/>
        </w:rPr>
      </w:pPr>
      <w:r>
        <w:rPr>
          <w:rFonts w:ascii="Helvetica Neue" w:hAnsi="Helvetica Neue"/>
          <w:b/>
          <w:bCs/>
          <w:sz w:val="24"/>
          <w:szCs w:val="24"/>
          <w:lang w:val="en-US"/>
        </w:rPr>
        <w:t>Evaluation design and preparation:</w:t>
      </w:r>
      <w:r>
        <w:rPr>
          <w:sz w:val="24"/>
          <w:szCs w:val="24"/>
          <w:lang w:val="en-US"/>
        </w:rPr>
        <w:t xml:space="preserve"> early in the project cycle, M&amp;E Officers shall design effective evaluation plan/terms of reference that explains the what, why, when, how, and who to evaluate as well as how external stakeholders shall be involved. All evaluation plans must include formative, summative and ex-post evaluations and shall be reviewed and approved by key stakeholders before use. </w:t>
      </w:r>
    </w:p>
    <w:p w14:paraId="2E1B9DA7">
      <w:pPr>
        <w:pStyle w:val="3"/>
        <w:spacing w:line="360" w:lineRule="auto"/>
        <w:jc w:val="both"/>
        <w:rPr>
          <w:sz w:val="24"/>
          <w:szCs w:val="24"/>
        </w:rPr>
      </w:pPr>
      <w:r>
        <w:rPr>
          <w:rFonts w:ascii="Helvetica Neue" w:hAnsi="Helvetica Neue"/>
          <w:b/>
          <w:bCs/>
          <w:sz w:val="24"/>
          <w:szCs w:val="24"/>
          <w:lang w:val="en-US"/>
        </w:rPr>
        <w:t>Formative evaluation</w:t>
      </w:r>
      <w:r>
        <w:rPr>
          <w:sz w:val="24"/>
          <w:szCs w:val="24"/>
          <w:lang w:val="en-US"/>
        </w:rPr>
        <w:t>: This shall be conducted during implementation, focussing on adaptive management and course correction while emphasising leaning and improvement, conducted every 6 months.</w:t>
      </w:r>
    </w:p>
    <w:p w14:paraId="747BC889">
      <w:pPr>
        <w:pStyle w:val="3"/>
        <w:spacing w:line="360" w:lineRule="auto"/>
        <w:jc w:val="both"/>
        <w:rPr>
          <w:sz w:val="24"/>
          <w:szCs w:val="24"/>
        </w:rPr>
      </w:pPr>
      <w:r>
        <w:rPr>
          <w:rFonts w:ascii="Helvetica Neue" w:hAnsi="Helvetica Neue"/>
          <w:b/>
          <w:bCs/>
          <w:sz w:val="24"/>
          <w:szCs w:val="24"/>
          <w:lang w:val="en-US"/>
        </w:rPr>
        <w:t>Summative evaluation</w:t>
      </w:r>
      <w:r>
        <w:rPr>
          <w:sz w:val="24"/>
          <w:szCs w:val="24"/>
          <w:lang w:val="en-US"/>
        </w:rPr>
        <w:t>: This shall be conducted at project completion to assess overall achievement of objectives and document lessons learned and best practices.</w:t>
      </w:r>
    </w:p>
    <w:p w14:paraId="4BC92ACD">
      <w:pPr>
        <w:pStyle w:val="3"/>
        <w:spacing w:line="360" w:lineRule="auto"/>
        <w:jc w:val="both"/>
        <w:rPr>
          <w:sz w:val="24"/>
          <w:szCs w:val="24"/>
        </w:rPr>
      </w:pPr>
      <w:r>
        <w:rPr>
          <w:sz w:val="24"/>
          <w:szCs w:val="24"/>
          <w:lang w:val="en-US"/>
        </w:rPr>
        <w:t xml:space="preserve">Ex-post evaluation: This shall be conducted 2-3 years after project completion to assess long term impacts and sustainability, evaluate lasting institutional changes </w:t>
      </w:r>
    </w:p>
    <w:p w14:paraId="7F7BDE0C">
      <w:pPr>
        <w:pStyle w:val="3"/>
        <w:spacing w:line="360" w:lineRule="auto"/>
        <w:jc w:val="both"/>
        <w:rPr>
          <w:sz w:val="24"/>
          <w:szCs w:val="24"/>
        </w:rPr>
      </w:pPr>
      <w:r>
        <w:rPr>
          <w:rFonts w:ascii="Helvetica Neue" w:hAnsi="Helvetica Neue"/>
          <w:b/>
          <w:bCs/>
          <w:sz w:val="24"/>
          <w:szCs w:val="24"/>
          <w:lang w:val="fr-FR"/>
        </w:rPr>
        <w:t>Evaluation criteria</w:t>
      </w:r>
      <w:r>
        <w:rPr>
          <w:sz w:val="24"/>
          <w:szCs w:val="24"/>
          <w:lang w:val="en-US"/>
        </w:rPr>
        <w:t>: all evaluations shall assess projects against internationally recognized criteria including relevance, effectiveness, efficiency, impact, sustainability and coherence.</w:t>
      </w:r>
    </w:p>
    <w:p w14:paraId="4E0281EC">
      <w:pPr>
        <w:pStyle w:val="3"/>
        <w:spacing w:line="360" w:lineRule="auto"/>
        <w:jc w:val="both"/>
        <w:rPr>
          <w:sz w:val="24"/>
          <w:szCs w:val="24"/>
        </w:rPr>
      </w:pPr>
      <w:r>
        <w:rPr>
          <w:rFonts w:ascii="Helvetica Neue" w:hAnsi="Helvetica Neue"/>
          <w:b/>
          <w:bCs/>
          <w:sz w:val="24"/>
          <w:szCs w:val="24"/>
          <w:lang w:val="en-US"/>
        </w:rPr>
        <w:t>Evaluation methodology</w:t>
      </w:r>
      <w:r>
        <w:rPr>
          <w:sz w:val="24"/>
          <w:szCs w:val="24"/>
          <w:lang w:val="en-US"/>
        </w:rPr>
        <w:t xml:space="preserve">: evaluations shall employ mixed methods approaches combining qualitative analysis, quantitative assessments, comparative analysis, cost-benefit analysis, and theory based evaluation. Every PPP projects shall select the mix of methods that are best suited for assessing its specific outcomes and impact indicators. </w:t>
      </w:r>
    </w:p>
    <w:p w14:paraId="513F1579">
      <w:pPr>
        <w:pStyle w:val="2"/>
      </w:pPr>
    </w:p>
    <w:p w14:paraId="7C279B85">
      <w:pPr>
        <w:pStyle w:val="2"/>
        <w:spacing w:line="360" w:lineRule="auto"/>
        <w:rPr>
          <w:color w:val="000000"/>
          <w:sz w:val="24"/>
          <w:szCs w:val="24"/>
        </w:rPr>
      </w:pPr>
      <w:bookmarkStart w:id="86" w:name="_Toc85"/>
      <w:r>
        <w:rPr>
          <w:color w:val="000000"/>
          <w:sz w:val="24"/>
          <w:szCs w:val="24"/>
          <w:lang w:val="en-US"/>
        </w:rPr>
        <w:t xml:space="preserve">11.4. Data Collection and Management </w:t>
      </w:r>
      <w:bookmarkEnd w:id="86"/>
    </w:p>
    <w:p w14:paraId="168631FC">
      <w:pPr>
        <w:pStyle w:val="3"/>
        <w:spacing w:line="360" w:lineRule="auto"/>
        <w:jc w:val="both"/>
        <w:rPr>
          <w:sz w:val="24"/>
          <w:szCs w:val="24"/>
        </w:rPr>
      </w:pPr>
      <w:r>
        <w:rPr>
          <w:rFonts w:ascii="Helvetica Neue" w:hAnsi="Helvetica Neue"/>
          <w:b/>
          <w:bCs/>
          <w:sz w:val="24"/>
          <w:szCs w:val="24"/>
          <w:lang w:val="en-US"/>
        </w:rPr>
        <w:t>Data Collection:</w:t>
      </w:r>
      <w:r>
        <w:rPr>
          <w:sz w:val="24"/>
          <w:szCs w:val="24"/>
          <w:lang w:val="en-US"/>
        </w:rPr>
        <w:t xml:space="preserve"> High-quality data collection requires ensuring that information sources are credible and reliable. The tables in Appendix B identify credible sources for M&amp;E data collection. </w:t>
      </w:r>
    </w:p>
    <w:p w14:paraId="35383CFB">
      <w:pPr>
        <w:pStyle w:val="3"/>
        <w:spacing w:line="360" w:lineRule="auto"/>
        <w:jc w:val="both"/>
        <w:rPr>
          <w:sz w:val="24"/>
          <w:szCs w:val="24"/>
        </w:rPr>
      </w:pPr>
      <w:r>
        <w:rPr>
          <w:rFonts w:ascii="Helvetica Neue" w:hAnsi="Helvetica Neue"/>
          <w:b/>
          <w:bCs/>
          <w:sz w:val="24"/>
          <w:szCs w:val="24"/>
          <w:lang w:val="it-IT"/>
        </w:rPr>
        <w:t xml:space="preserve">Data quality: </w:t>
      </w:r>
      <w:r>
        <w:rPr>
          <w:sz w:val="24"/>
          <w:szCs w:val="24"/>
          <w:lang w:val="en-US"/>
        </w:rPr>
        <w:t>M&amp;E officers must conduct data collection thorough data validation procedures. The M&amp;E Officer holds responsibility for ensuring the collection and processing of clean, accurate data throughout the system. All M&amp;E data shall maintain University</w:t>
      </w:r>
      <w:r>
        <w:rPr>
          <w:sz w:val="24"/>
          <w:szCs w:val="24"/>
          <w:rtl/>
        </w:rPr>
        <w:t>’</w:t>
      </w:r>
      <w:r>
        <w:rPr>
          <w:sz w:val="24"/>
          <w:szCs w:val="24"/>
          <w:lang w:val="en-US"/>
        </w:rPr>
        <w:t>s data quality standards, which include accuracy, completeness, timeliness, accessibility, usability, confidentiality and security. Data quality reviews shall be undertaken to verify the quality and consistency of data over time, across PPP projects in the university</w:t>
      </w:r>
    </w:p>
    <w:p w14:paraId="49883802">
      <w:pPr>
        <w:pStyle w:val="3"/>
        <w:spacing w:line="360" w:lineRule="auto"/>
        <w:jc w:val="both"/>
        <w:rPr>
          <w:sz w:val="24"/>
          <w:szCs w:val="24"/>
        </w:rPr>
      </w:pPr>
      <w:r>
        <w:rPr>
          <w:rFonts w:ascii="Helvetica Neue" w:hAnsi="Helvetica Neue"/>
          <w:b/>
          <w:bCs/>
          <w:sz w:val="24"/>
          <w:szCs w:val="24"/>
          <w:lang w:val="en-US"/>
        </w:rPr>
        <w:t>Uniformity in data collection</w:t>
      </w:r>
      <w:r>
        <w:rPr>
          <w:sz w:val="24"/>
          <w:szCs w:val="24"/>
          <w:lang w:val="en-US"/>
        </w:rPr>
        <w:t xml:space="preserve">: all essential data shall be collected in uniform template, agreed upon by stakeholders. The templates must ensure relevance, accuracy, timeliness and interpretability.  </w:t>
      </w:r>
    </w:p>
    <w:p w14:paraId="09D981DE">
      <w:pPr>
        <w:pStyle w:val="3"/>
        <w:spacing w:line="360" w:lineRule="auto"/>
        <w:jc w:val="both"/>
        <w:rPr>
          <w:sz w:val="24"/>
          <w:szCs w:val="24"/>
        </w:rPr>
      </w:pPr>
      <w:r>
        <w:rPr>
          <w:rFonts w:ascii="Helvetica Neue" w:hAnsi="Helvetica Neue"/>
          <w:b/>
          <w:bCs/>
          <w:sz w:val="24"/>
          <w:szCs w:val="24"/>
          <w:lang w:val="en-US"/>
        </w:rPr>
        <w:t>Data Analysis:</w:t>
      </w:r>
      <w:r>
        <w:rPr>
          <w:sz w:val="24"/>
          <w:szCs w:val="24"/>
          <w:lang w:val="en-US"/>
        </w:rPr>
        <w:t xml:space="preserve"> M&amp;E Data analysis shall be undertaken by the M&amp;E Officer who forwards regular and on-demand reports. The Officer shall analyse data using the most appropriate tools and methods for quantitative and qualitative data. </w:t>
      </w:r>
    </w:p>
    <w:p w14:paraId="7857CCA7">
      <w:pPr>
        <w:pStyle w:val="3"/>
        <w:spacing w:line="360" w:lineRule="auto"/>
        <w:jc w:val="both"/>
        <w:rPr>
          <w:sz w:val="24"/>
          <w:szCs w:val="24"/>
        </w:rPr>
      </w:pPr>
      <w:r>
        <w:rPr>
          <w:rFonts w:ascii="Helvetica Neue" w:hAnsi="Helvetica Neue"/>
          <w:b/>
          <w:bCs/>
          <w:sz w:val="24"/>
          <w:szCs w:val="24"/>
          <w:lang w:val="en-US"/>
        </w:rPr>
        <w:t>Quality Assurance:</w:t>
      </w:r>
      <w:r>
        <w:rPr>
          <w:sz w:val="24"/>
          <w:szCs w:val="24"/>
          <w:lang w:val="en-US"/>
        </w:rPr>
        <w:t xml:space="preserve"> An independent (external) M&amp;E expert shall be engaged periodically to verify evaluation findings, assess M&amp;E systems effectiveness, and benchmark against international best practices. A peer review process shall be established for monitoring and evaluation reports to ensure they are credible, ensuring that both process and product of evaluation are credible</w:t>
      </w:r>
    </w:p>
    <w:p w14:paraId="5B532CE9">
      <w:pPr>
        <w:pStyle w:val="3"/>
        <w:spacing w:line="360" w:lineRule="auto"/>
        <w:jc w:val="both"/>
        <w:rPr>
          <w:sz w:val="24"/>
          <w:szCs w:val="24"/>
        </w:rPr>
      </w:pPr>
      <w:r>
        <w:rPr>
          <w:rFonts w:ascii="Helvetica Neue" w:hAnsi="Helvetica Neue"/>
          <w:b/>
          <w:bCs/>
          <w:sz w:val="24"/>
          <w:szCs w:val="24"/>
          <w:lang w:val="en-US"/>
        </w:rPr>
        <w:t>Developing monitoring and evaluation capacity:</w:t>
      </w:r>
      <w:r>
        <w:rPr>
          <w:sz w:val="24"/>
          <w:szCs w:val="24"/>
          <w:lang w:val="en-US"/>
        </w:rPr>
        <w:t xml:space="preserve"> Sufficient monitoring and evaluation skills shall be built to provide technical support, coaching and on-site training to selected staff to ensure ethical and consistent data collection, analysis and reporting across PPP projects in the University. </w:t>
      </w:r>
    </w:p>
    <w:p w14:paraId="20EEC56E">
      <w:pPr>
        <w:pStyle w:val="3"/>
      </w:pPr>
    </w:p>
    <w:p w14:paraId="0318DE30">
      <w:pPr>
        <w:pStyle w:val="2"/>
        <w:rPr>
          <w:color w:val="000000"/>
          <w:sz w:val="24"/>
          <w:szCs w:val="24"/>
        </w:rPr>
      </w:pPr>
      <w:bookmarkStart w:id="87" w:name="_Toc86"/>
      <w:r>
        <w:rPr>
          <w:color w:val="000000"/>
          <w:sz w:val="24"/>
          <w:szCs w:val="24"/>
          <w:lang w:val="en-US"/>
        </w:rPr>
        <w:t xml:space="preserve">11.4. Reviews and Communication </w:t>
      </w:r>
      <w:bookmarkEnd w:id="87"/>
    </w:p>
    <w:p w14:paraId="6C108704">
      <w:pPr>
        <w:pStyle w:val="3"/>
      </w:pPr>
    </w:p>
    <w:p w14:paraId="51188B68">
      <w:pPr>
        <w:pStyle w:val="3"/>
        <w:spacing w:line="360" w:lineRule="auto"/>
        <w:jc w:val="both"/>
        <w:rPr>
          <w:sz w:val="24"/>
          <w:szCs w:val="24"/>
        </w:rPr>
      </w:pPr>
      <w:r>
        <w:rPr>
          <w:rFonts w:ascii="Helvetica Neue" w:hAnsi="Helvetica Neue"/>
          <w:b/>
          <w:bCs/>
          <w:sz w:val="24"/>
          <w:szCs w:val="24"/>
          <w:lang w:val="en-US"/>
        </w:rPr>
        <w:t>Common Information System and Data Sharing Platform:</w:t>
      </w:r>
      <w:r>
        <w:rPr>
          <w:sz w:val="24"/>
          <w:szCs w:val="24"/>
          <w:lang w:val="en-US"/>
        </w:rPr>
        <w:t xml:space="preserve"> For effective institutional knowledge management, there shall be a common information system to ensure a coordinated and unified way of information gathering, management, sharing, and presentation. The information system shall provide, in real time, clear data visualisation and dashboards of the progress of PPP initiatives as well as their performance in terms of achievement of the set goals.</w:t>
      </w:r>
    </w:p>
    <w:p w14:paraId="35A8F537">
      <w:pPr>
        <w:pStyle w:val="3"/>
        <w:spacing w:line="360" w:lineRule="auto"/>
        <w:jc w:val="both"/>
        <w:rPr>
          <w:sz w:val="24"/>
          <w:szCs w:val="24"/>
        </w:rPr>
      </w:pPr>
      <w:r>
        <w:rPr>
          <w:rFonts w:ascii="Helvetica Neue" w:hAnsi="Helvetica Neue"/>
          <w:b/>
          <w:bCs/>
          <w:sz w:val="24"/>
          <w:szCs w:val="24"/>
          <w:lang w:val="en-US"/>
        </w:rPr>
        <w:t>Progress review:</w:t>
      </w:r>
      <w:r>
        <w:rPr>
          <w:sz w:val="24"/>
          <w:szCs w:val="24"/>
          <w:lang w:val="en-US"/>
        </w:rPr>
        <w:t xml:space="preserve"> Progress reviews for PPP projects in the University of Nigeria shall consist of both quarterly and biannual reporting by all stakeholders who have reporting responsibilities. However, some projects may have different timelines for the various indicators as may be contained in the contract and reports shall be provided accordingly.</w:t>
      </w:r>
    </w:p>
    <w:p w14:paraId="2DD4100E">
      <w:pPr>
        <w:pStyle w:val="3"/>
        <w:spacing w:line="360" w:lineRule="auto"/>
        <w:jc w:val="both"/>
        <w:rPr>
          <w:sz w:val="24"/>
          <w:szCs w:val="24"/>
        </w:rPr>
      </w:pPr>
      <w:r>
        <w:rPr>
          <w:rFonts w:ascii="Helvetica Neue" w:hAnsi="Helvetica Neue"/>
          <w:b/>
          <w:bCs/>
          <w:sz w:val="24"/>
          <w:szCs w:val="24"/>
          <w:lang w:val="en-US"/>
        </w:rPr>
        <w:t xml:space="preserve">Period reports: </w:t>
      </w:r>
      <w:r>
        <w:rPr>
          <w:sz w:val="24"/>
          <w:szCs w:val="24"/>
          <w:lang w:val="en-US"/>
        </w:rPr>
        <w:t>The PPP Unit shall produce an Annual Strategic Plan Performance Review Report, which shall highlight the performance of the University of Nigeria in line with the set strategic objectives and will compare the performance to the set targets and the achievements from previous years for all projects. Summarily, the main outputs of the information generated from the M&amp;E system will be the Strategic Plan Performance Review Reports that will be shared quarterly and annually. The reports shall highlight lessons learnt as well as recommendations.</w:t>
      </w:r>
    </w:p>
    <w:p w14:paraId="3B78B118">
      <w:pPr>
        <w:pStyle w:val="3"/>
        <w:spacing w:line="360" w:lineRule="auto"/>
        <w:jc w:val="both"/>
        <w:rPr>
          <w:sz w:val="24"/>
          <w:szCs w:val="24"/>
        </w:rPr>
      </w:pPr>
      <w:r>
        <w:rPr>
          <w:sz w:val="24"/>
          <w:szCs w:val="24"/>
          <w:lang w:val="en-US"/>
        </w:rPr>
        <w:t>In reporting, M&amp;E officers shall transform from data to information with explanations, lessons and recommendations. All PPP project managers shall prepare reports in prescribed format which shall be consistent. These individual reports will make up the university annual PPP monitoring performance report. The PPP Unit shall be responsible for preparing the University</w:t>
      </w:r>
      <w:r>
        <w:rPr>
          <w:sz w:val="24"/>
          <w:szCs w:val="24"/>
          <w:rtl/>
        </w:rPr>
        <w:t>’</w:t>
      </w:r>
      <w:r>
        <w:rPr>
          <w:sz w:val="24"/>
          <w:szCs w:val="24"/>
          <w:lang w:val="en-US"/>
        </w:rPr>
        <w:t xml:space="preserve">s annual PPP performance monitoring reports. </w:t>
      </w:r>
    </w:p>
    <w:p w14:paraId="202EAE8D">
      <w:pPr>
        <w:pStyle w:val="3"/>
        <w:spacing w:line="360" w:lineRule="auto"/>
        <w:jc w:val="both"/>
        <w:rPr>
          <w:sz w:val="24"/>
          <w:szCs w:val="24"/>
        </w:rPr>
      </w:pPr>
      <w:r>
        <w:rPr>
          <w:rFonts w:ascii="Helvetica Neue" w:hAnsi="Helvetica Neue"/>
          <w:b/>
          <w:bCs/>
          <w:sz w:val="24"/>
          <w:szCs w:val="24"/>
          <w:lang w:val="en-US"/>
        </w:rPr>
        <w:t>Follow-up on Evaluation findings and recommendations:</w:t>
      </w:r>
      <w:r>
        <w:rPr>
          <w:sz w:val="24"/>
          <w:szCs w:val="24"/>
          <w:lang w:val="en-US"/>
        </w:rPr>
        <w:t xml:space="preserve"> Following the production of final evaluation reports, project managers shall take all actions recommended, prepare improvement plans based on recommendations, monitor the implementation of the plans and submit quarterly reports on progress on the implementing the plan</w:t>
      </w:r>
    </w:p>
    <w:p w14:paraId="39EB1FFB">
      <w:pPr>
        <w:pStyle w:val="3"/>
        <w:spacing w:line="360" w:lineRule="auto"/>
        <w:jc w:val="both"/>
        <w:rPr>
          <w:sz w:val="24"/>
          <w:szCs w:val="24"/>
        </w:rPr>
      </w:pPr>
      <w:r>
        <w:rPr>
          <w:rFonts w:ascii="Helvetica Neue" w:hAnsi="Helvetica Neue"/>
          <w:b/>
          <w:bCs/>
          <w:sz w:val="24"/>
          <w:szCs w:val="24"/>
          <w:lang w:val="it-IT"/>
        </w:rPr>
        <w:t>Data storage:</w:t>
      </w:r>
      <w:r>
        <w:rPr>
          <w:sz w:val="24"/>
          <w:szCs w:val="24"/>
          <w:lang w:val="en-US"/>
        </w:rPr>
        <w:t xml:space="preserve"> This will be essential for ensuring institutional learning and preserving organisational memory. The M&amp;E data warehouse shall serve the repository function for effective data management. Additionally, system backups will be maintained both at a physical location and through cloud storage.</w:t>
      </w:r>
    </w:p>
    <w:p w14:paraId="0C36A1F9">
      <w:pPr>
        <w:pStyle w:val="3"/>
        <w:spacing w:line="360" w:lineRule="auto"/>
        <w:jc w:val="both"/>
        <w:rPr>
          <w:sz w:val="24"/>
          <w:szCs w:val="24"/>
        </w:rPr>
      </w:pPr>
      <w:r>
        <w:rPr>
          <w:rFonts w:ascii="Helvetica Neue" w:hAnsi="Helvetica Neue"/>
          <w:b/>
          <w:bCs/>
          <w:sz w:val="24"/>
          <w:szCs w:val="24"/>
          <w:lang w:val="fr-FR"/>
        </w:rPr>
        <w:t>Dissemination plan:</w:t>
      </w:r>
      <w:r>
        <w:rPr>
          <w:sz w:val="24"/>
          <w:szCs w:val="24"/>
          <w:lang w:val="en-US"/>
        </w:rPr>
        <w:t xml:space="preserve"> Dissemination of information generated from the M&amp;E system is a key component of monitoring and evaluation. The information generated is useful in promoting a culture of learning and the use of evidence in decision-making. The information shall be useful for both internal and external stakeholders. Effective dissemination of M&amp;E information can facilitate:</w:t>
      </w:r>
    </w:p>
    <w:p w14:paraId="26F0935E">
      <w:pPr>
        <w:pStyle w:val="3"/>
        <w:numPr>
          <w:ilvl w:val="1"/>
          <w:numId w:val="75"/>
        </w:numPr>
        <w:spacing w:line="360" w:lineRule="auto"/>
        <w:jc w:val="both"/>
        <w:rPr>
          <w:sz w:val="24"/>
          <w:szCs w:val="24"/>
          <w:lang w:val="en-US"/>
        </w:rPr>
      </w:pPr>
      <w:r>
        <w:rPr>
          <w:sz w:val="24"/>
          <w:szCs w:val="24"/>
          <w:lang w:val="en-US"/>
        </w:rPr>
        <w:t>Organisational learning and sharing of best practices,</w:t>
      </w:r>
    </w:p>
    <w:p w14:paraId="765242AE">
      <w:pPr>
        <w:pStyle w:val="3"/>
        <w:numPr>
          <w:ilvl w:val="1"/>
          <w:numId w:val="75"/>
        </w:numPr>
        <w:spacing w:line="360" w:lineRule="auto"/>
        <w:jc w:val="both"/>
        <w:rPr>
          <w:sz w:val="24"/>
          <w:szCs w:val="24"/>
          <w:lang w:val="en-US"/>
        </w:rPr>
      </w:pPr>
      <w:r>
        <w:rPr>
          <w:sz w:val="24"/>
          <w:szCs w:val="24"/>
          <w:lang w:val="en-US"/>
        </w:rPr>
        <w:t>Strategic planning and evidence-based decision-making,</w:t>
      </w:r>
    </w:p>
    <w:p w14:paraId="4CD4FCA1">
      <w:pPr>
        <w:pStyle w:val="3"/>
        <w:numPr>
          <w:ilvl w:val="1"/>
          <w:numId w:val="75"/>
        </w:numPr>
        <w:spacing w:line="360" w:lineRule="auto"/>
        <w:jc w:val="both"/>
        <w:rPr>
          <w:sz w:val="24"/>
          <w:szCs w:val="24"/>
          <w:lang w:val="en-US"/>
        </w:rPr>
      </w:pPr>
      <w:r>
        <w:rPr>
          <w:sz w:val="24"/>
          <w:szCs w:val="24"/>
          <w:lang w:val="en-US"/>
        </w:rPr>
        <w:t xml:space="preserve">Accountability and compliance with legal and regulatory requirements, </w:t>
      </w:r>
    </w:p>
    <w:p w14:paraId="21EC8A3A">
      <w:pPr>
        <w:pStyle w:val="3"/>
        <w:numPr>
          <w:ilvl w:val="1"/>
          <w:numId w:val="75"/>
        </w:numPr>
        <w:spacing w:line="360" w:lineRule="auto"/>
        <w:jc w:val="both"/>
        <w:rPr>
          <w:sz w:val="24"/>
          <w:szCs w:val="24"/>
          <w:lang w:val="en-US"/>
        </w:rPr>
      </w:pPr>
      <w:r>
        <w:rPr>
          <w:sz w:val="24"/>
          <w:szCs w:val="24"/>
          <w:lang w:val="en-US"/>
        </w:rPr>
        <w:t>Build stakeholder understanding and support and therefore strengthen partnerships and collaborations.</w:t>
      </w:r>
    </w:p>
    <w:p w14:paraId="0A7F8F77">
      <w:pPr>
        <w:pStyle w:val="3"/>
        <w:spacing w:line="360" w:lineRule="auto"/>
        <w:jc w:val="both"/>
        <w:rPr>
          <w:sz w:val="24"/>
          <w:szCs w:val="24"/>
        </w:rPr>
      </w:pPr>
      <w:r>
        <w:rPr>
          <w:sz w:val="24"/>
          <w:szCs w:val="24"/>
          <w:lang w:val="en-US"/>
        </w:rPr>
        <w:t>Communication tools, including university newsletters and report briefs, will be distributed to both internal and external stakeholders. Staff will be kept informed of project developments and progress through the university email systems and other communication outlets. Additionally, M&amp;E dashboards will provide real-time, at-a-glance views of key performance indicators for university projects. These M&amp;E platforms will be accessible to the university management team and other members of the university community. Dissemination channels will include, but are not limited to: publication of evaluation reports and annual reports on the university website and portal; distribution to staff via email communications; partner briefing meetings; academic conferences; and relevant professional forums and summits.</w:t>
      </w:r>
    </w:p>
    <w:p w14:paraId="5AAF8B24">
      <w:pPr>
        <w:pStyle w:val="3"/>
      </w:pPr>
    </w:p>
    <w:p w14:paraId="1B79C5CA">
      <w:pPr>
        <w:pStyle w:val="3"/>
      </w:pPr>
    </w:p>
    <w:p w14:paraId="29A58477">
      <w:pPr>
        <w:pStyle w:val="3"/>
      </w:pPr>
    </w:p>
    <w:p w14:paraId="4DD797E8">
      <w:pPr>
        <w:pStyle w:val="3"/>
      </w:pPr>
    </w:p>
    <w:p w14:paraId="62EB6E7B">
      <w:pPr>
        <w:pStyle w:val="3"/>
      </w:pPr>
    </w:p>
    <w:p w14:paraId="7CFA3E4B">
      <w:pPr>
        <w:pStyle w:val="3"/>
      </w:pPr>
    </w:p>
    <w:p w14:paraId="2734CCBE">
      <w:pPr>
        <w:pStyle w:val="3"/>
      </w:pPr>
    </w:p>
    <w:p w14:paraId="2F9F547D">
      <w:pPr>
        <w:pStyle w:val="3"/>
      </w:pPr>
    </w:p>
    <w:p w14:paraId="0E79137C">
      <w:pPr>
        <w:pStyle w:val="3"/>
      </w:pPr>
    </w:p>
    <w:p w14:paraId="55ED27E1">
      <w:pPr>
        <w:pStyle w:val="3"/>
      </w:pPr>
    </w:p>
    <w:p w14:paraId="061FC68C">
      <w:pPr>
        <w:pStyle w:val="3"/>
      </w:pPr>
    </w:p>
    <w:p w14:paraId="0C109A3E">
      <w:pPr>
        <w:pStyle w:val="3"/>
      </w:pPr>
    </w:p>
    <w:p w14:paraId="73F9E488">
      <w:pPr>
        <w:pStyle w:val="3"/>
      </w:pPr>
    </w:p>
    <w:p w14:paraId="54C13575">
      <w:pPr>
        <w:pStyle w:val="3"/>
      </w:pPr>
    </w:p>
    <w:p w14:paraId="132CB3AE">
      <w:pPr>
        <w:pStyle w:val="3"/>
      </w:pPr>
    </w:p>
    <w:p w14:paraId="34F5DC73">
      <w:pPr>
        <w:pStyle w:val="3"/>
      </w:pPr>
    </w:p>
    <w:p w14:paraId="5716F122">
      <w:pPr>
        <w:pStyle w:val="3"/>
      </w:pPr>
    </w:p>
    <w:p w14:paraId="262D7886">
      <w:pPr>
        <w:pStyle w:val="3"/>
      </w:pPr>
    </w:p>
    <w:p w14:paraId="397577FC">
      <w:pPr>
        <w:pStyle w:val="3"/>
        <w:rPr>
          <w:lang w:eastAsia="zh-CN"/>
        </w:rPr>
      </w:pPr>
    </w:p>
    <w:p w14:paraId="6A88C713">
      <w:pPr>
        <w:pStyle w:val="3"/>
        <w:rPr>
          <w:lang w:eastAsia="zh-CN"/>
        </w:rPr>
      </w:pPr>
    </w:p>
    <w:p w14:paraId="1C4A1D83">
      <w:pPr>
        <w:pStyle w:val="3"/>
      </w:pPr>
    </w:p>
    <w:p w14:paraId="625AFCDC">
      <w:pPr>
        <w:pStyle w:val="3"/>
      </w:pPr>
    </w:p>
    <w:p w14:paraId="57A36EB2">
      <w:pPr>
        <w:pStyle w:val="3"/>
      </w:pPr>
    </w:p>
    <w:p w14:paraId="33DA7649">
      <w:pPr>
        <w:pStyle w:val="3"/>
      </w:pPr>
    </w:p>
    <w:p w14:paraId="5EF89D45">
      <w:pPr>
        <w:pStyle w:val="3"/>
      </w:pPr>
    </w:p>
    <w:p w14:paraId="02B6363D">
      <w:pPr>
        <w:pStyle w:val="3"/>
      </w:pPr>
    </w:p>
    <w:p w14:paraId="234B714B">
      <w:pPr>
        <w:pStyle w:val="3"/>
      </w:pPr>
    </w:p>
    <w:p w14:paraId="20460764">
      <w:pPr>
        <w:pStyle w:val="22"/>
      </w:pPr>
    </w:p>
    <w:p w14:paraId="39965A33">
      <w:pPr>
        <w:pStyle w:val="24"/>
        <w:spacing w:line="360" w:lineRule="auto"/>
        <w:rPr>
          <w:rFonts w:ascii="Helvetica Neue" w:hAnsi="Helvetica Neue" w:eastAsia="Helvetica Neue" w:cs="Helvetica Neue"/>
          <w:b/>
          <w:bCs/>
          <w:color w:val="000000"/>
        </w:rPr>
      </w:pPr>
      <w:bookmarkStart w:id="88" w:name="_Toc87"/>
      <w:r>
        <w:rPr>
          <w:rFonts w:ascii="Helvetica Neue" w:hAnsi="Helvetica Neue"/>
          <w:b/>
          <w:bCs/>
          <w:color w:val="000000"/>
          <w:lang w:val="en-US"/>
        </w:rPr>
        <w:t>12.0. Summary and next steps</w:t>
      </w:r>
      <w:bookmarkEnd w:id="88"/>
    </w:p>
    <w:p w14:paraId="580F2C52">
      <w:pPr>
        <w:pStyle w:val="2"/>
        <w:spacing w:line="360" w:lineRule="auto"/>
        <w:rPr>
          <w:color w:val="000000"/>
          <w:sz w:val="24"/>
          <w:szCs w:val="24"/>
        </w:rPr>
      </w:pPr>
      <w:bookmarkStart w:id="89" w:name="_Toc88"/>
      <w:r>
        <w:rPr>
          <w:color w:val="000000"/>
          <w:sz w:val="24"/>
          <w:szCs w:val="24"/>
          <w:lang w:val="en-US"/>
        </w:rPr>
        <w:t>12.1 Summary of PPP Policy Guideline</w:t>
      </w:r>
      <w:bookmarkEnd w:id="89"/>
    </w:p>
    <w:p w14:paraId="59241ECD">
      <w:pPr>
        <w:pStyle w:val="3"/>
        <w:spacing w:line="360" w:lineRule="auto"/>
        <w:jc w:val="both"/>
        <w:rPr>
          <w:sz w:val="24"/>
          <w:szCs w:val="24"/>
        </w:rPr>
      </w:pPr>
      <w:r>
        <w:rPr>
          <w:sz w:val="24"/>
          <w:szCs w:val="24"/>
          <w:lang w:val="en-US"/>
        </w:rPr>
        <w:t>The successful implementation of this PPP policy guideline will be driven by the cooperation of all stakeholders. Ultimately, the PPP</w:t>
      </w:r>
      <w:r>
        <w:rPr>
          <w:sz w:val="24"/>
          <w:szCs w:val="24"/>
          <w:rtl/>
        </w:rPr>
        <w:t>’</w:t>
      </w:r>
      <w:r>
        <w:rPr>
          <w:sz w:val="24"/>
          <w:szCs w:val="24"/>
          <w:lang w:val="en-US"/>
        </w:rPr>
        <w:t>s legitimacy and success will be primarily determined by the guarantees and assurances the university extends to investors who find its assets and PPP project pipeline attractive for private funding in terms of a stable and assured policy environment.</w:t>
      </w:r>
    </w:p>
    <w:p w14:paraId="59BE9695">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Helvetica Neue" w:hAnsi="Helvetica Neue" w:eastAsia="Helvetica Neue" w:cs="Helvetica Neue"/>
          <w:b/>
          <w:bCs/>
          <w:sz w:val="24"/>
          <w:szCs w:val="24"/>
        </w:rPr>
      </w:pPr>
      <w:r>
        <w:rPr>
          <w:rFonts w:ascii="Helvetica Neue" w:hAnsi="Helvetica Neue"/>
          <w:b/>
          <w:bCs/>
          <w:sz w:val="24"/>
          <w:szCs w:val="24"/>
          <w:lang w:val="en-US"/>
        </w:rPr>
        <w:t>13.2 Next Steps</w:t>
      </w:r>
    </w:p>
    <w:p w14:paraId="7FA3B27C">
      <w:pPr>
        <w:pStyle w:val="3"/>
        <w:numPr>
          <w:ilvl w:val="1"/>
          <w:numId w:val="76"/>
        </w:numPr>
        <w:spacing w:line="360" w:lineRule="auto"/>
        <w:jc w:val="both"/>
        <w:rPr>
          <w:sz w:val="24"/>
          <w:szCs w:val="24"/>
          <w:lang w:val="en-US"/>
        </w:rPr>
      </w:pPr>
      <w:r>
        <w:rPr>
          <w:sz w:val="24"/>
          <w:szCs w:val="24"/>
          <w:lang w:val="en-US"/>
        </w:rPr>
        <w:t>Set Up a PPP UNIT, appoint a Director and other Team Members following the Organogram</w:t>
      </w:r>
    </w:p>
    <w:p w14:paraId="46032F84">
      <w:pPr>
        <w:pStyle w:val="3"/>
        <w:numPr>
          <w:ilvl w:val="1"/>
          <w:numId w:val="40"/>
        </w:numPr>
        <w:spacing w:line="360" w:lineRule="auto"/>
        <w:jc w:val="both"/>
        <w:rPr>
          <w:sz w:val="24"/>
          <w:szCs w:val="24"/>
          <w:lang w:val="en-US"/>
        </w:rPr>
      </w:pPr>
      <w:r>
        <w:rPr>
          <w:sz w:val="24"/>
          <w:szCs w:val="24"/>
          <w:lang w:val="en-US"/>
        </w:rPr>
        <w:t>Empower and provide adequate resource to coordinate and oversee PPP project across the University</w:t>
      </w:r>
    </w:p>
    <w:p w14:paraId="0342A729">
      <w:pPr>
        <w:pStyle w:val="3"/>
        <w:numPr>
          <w:ilvl w:val="1"/>
          <w:numId w:val="40"/>
        </w:numPr>
        <w:spacing w:line="360" w:lineRule="auto"/>
        <w:jc w:val="both"/>
        <w:rPr>
          <w:sz w:val="24"/>
          <w:szCs w:val="24"/>
          <w:lang w:val="en-US"/>
        </w:rPr>
      </w:pPr>
      <w:r>
        <w:rPr>
          <w:sz w:val="24"/>
          <w:szCs w:val="24"/>
          <w:lang w:val="en-US"/>
        </w:rPr>
        <w:t>Identify, prioritise, and publish a true pipeline of potential PPP Projects aligned with university development plans</w:t>
      </w:r>
    </w:p>
    <w:p w14:paraId="2F1378F5">
      <w:pPr>
        <w:pStyle w:val="3"/>
        <w:numPr>
          <w:ilvl w:val="1"/>
          <w:numId w:val="40"/>
        </w:numPr>
        <w:spacing w:line="360" w:lineRule="auto"/>
        <w:jc w:val="both"/>
        <w:rPr>
          <w:sz w:val="24"/>
          <w:szCs w:val="24"/>
          <w:lang w:val="en-US"/>
        </w:rPr>
      </w:pPr>
      <w:r>
        <w:rPr>
          <w:sz w:val="24"/>
          <w:szCs w:val="24"/>
          <w:lang w:val="en-US"/>
        </w:rPr>
        <w:t>Promote public awareness of PPP opportunities and benefits to secure all stakeholders' buy-in.</w:t>
      </w:r>
    </w:p>
    <w:p w14:paraId="1914172A">
      <w:pPr>
        <w:pStyle w:val="3"/>
        <w:numPr>
          <w:ilvl w:val="1"/>
          <w:numId w:val="40"/>
        </w:numPr>
        <w:spacing w:line="360" w:lineRule="auto"/>
        <w:jc w:val="both"/>
        <w:rPr>
          <w:sz w:val="24"/>
          <w:szCs w:val="24"/>
          <w:lang w:val="en-US"/>
        </w:rPr>
      </w:pPr>
      <w:r>
        <w:rPr>
          <w:sz w:val="24"/>
          <w:szCs w:val="24"/>
          <w:lang w:val="en-US"/>
        </w:rPr>
        <w:t xml:space="preserve">Strengthen partnerships with development partners, Alumni, </w:t>
      </w:r>
      <w:r>
        <w:rPr>
          <w:color w:val="000000" w:themeColor="text1"/>
          <w:sz w:val="24"/>
          <w:szCs w:val="24"/>
          <w:lang w:val="en-US"/>
          <w14:textFill>
            <w14:solidFill>
              <w14:schemeClr w14:val="tx1"/>
            </w14:solidFill>
          </w14:textFill>
        </w:rPr>
        <w:t xml:space="preserve">(for impact investment) </w:t>
      </w:r>
      <w:r>
        <w:rPr>
          <w:sz w:val="24"/>
          <w:szCs w:val="24"/>
          <w:lang w:val="en-US"/>
        </w:rPr>
        <w:t>and international financial institutions to mobilise financing and technical assistance.</w:t>
      </w:r>
    </w:p>
    <w:p w14:paraId="32C96DAA">
      <w:pPr>
        <w:pStyle w:val="3"/>
        <w:jc w:val="both"/>
        <w:rPr>
          <w:sz w:val="24"/>
          <w:szCs w:val="24"/>
          <w:lang w:val="en-GB"/>
        </w:rPr>
      </w:pPr>
    </w:p>
    <w:p w14:paraId="7480F091">
      <w:pPr>
        <w:pStyle w:val="3"/>
        <w:jc w:val="both"/>
        <w:rPr>
          <w:sz w:val="24"/>
          <w:szCs w:val="24"/>
        </w:rPr>
      </w:pPr>
    </w:p>
    <w:p w14:paraId="1199D467">
      <w:pPr>
        <w:pStyle w:val="3"/>
        <w:jc w:val="both"/>
        <w:rPr>
          <w:sz w:val="24"/>
          <w:szCs w:val="24"/>
        </w:rPr>
      </w:pPr>
    </w:p>
    <w:p w14:paraId="55763248">
      <w:pPr>
        <w:pStyle w:val="3"/>
        <w:jc w:val="both"/>
        <w:rPr>
          <w:sz w:val="24"/>
          <w:szCs w:val="24"/>
        </w:rPr>
      </w:pPr>
    </w:p>
    <w:p w14:paraId="3273DD35">
      <w:pPr>
        <w:pStyle w:val="3"/>
        <w:jc w:val="both"/>
        <w:rPr>
          <w:sz w:val="24"/>
          <w:szCs w:val="24"/>
        </w:rPr>
      </w:pPr>
    </w:p>
    <w:p w14:paraId="21FA070F">
      <w:pPr>
        <w:pStyle w:val="3"/>
        <w:jc w:val="both"/>
        <w:rPr>
          <w:sz w:val="24"/>
          <w:szCs w:val="24"/>
        </w:rPr>
      </w:pPr>
    </w:p>
    <w:p w14:paraId="0FED84E6">
      <w:pPr>
        <w:pStyle w:val="3"/>
        <w:jc w:val="both"/>
        <w:rPr>
          <w:sz w:val="24"/>
          <w:szCs w:val="24"/>
        </w:rPr>
      </w:pPr>
    </w:p>
    <w:p w14:paraId="261012BE">
      <w:pPr>
        <w:pStyle w:val="3"/>
        <w:jc w:val="both"/>
        <w:rPr>
          <w:sz w:val="24"/>
          <w:szCs w:val="24"/>
        </w:rPr>
      </w:pPr>
    </w:p>
    <w:p w14:paraId="51ABDCC9">
      <w:pPr>
        <w:pStyle w:val="3"/>
        <w:jc w:val="both"/>
        <w:rPr>
          <w:sz w:val="24"/>
          <w:szCs w:val="24"/>
        </w:rPr>
      </w:pPr>
      <w:r>
        <w:rPr>
          <w:sz w:val="24"/>
          <w:szCs w:val="24"/>
          <w:lang w:val="en-US"/>
        </w:rPr>
        <w:t>SIGNED</w:t>
      </w:r>
    </w:p>
    <w:tbl>
      <w:tblPr>
        <w:tblStyle w:val="6"/>
        <w:tblW w:w="9500" w:type="dxa"/>
        <w:jc w:val="center"/>
        <w:tblBorders>
          <w:top w:val="dotted" w:color="929292" w:sz="6" w:space="0"/>
          <w:left w:val="single" w:color="929292" w:sz="2" w:space="0"/>
          <w:bottom w:val="dotted" w:color="929292" w:sz="6" w:space="0"/>
          <w:right w:val="single" w:color="929292" w:sz="2" w:space="0"/>
          <w:insideH w:val="single" w:color="929292" w:sz="2" w:space="0"/>
          <w:insideV w:val="single" w:color="929292" w:sz="2" w:space="0"/>
        </w:tblBorders>
        <w:tblLayout w:type="fixed"/>
        <w:tblCellMar>
          <w:top w:w="0" w:type="dxa"/>
          <w:left w:w="108" w:type="dxa"/>
          <w:bottom w:w="0" w:type="dxa"/>
          <w:right w:w="108" w:type="dxa"/>
        </w:tblCellMar>
      </w:tblPr>
      <w:tblGrid>
        <w:gridCol w:w="3923"/>
        <w:gridCol w:w="2737"/>
        <w:gridCol w:w="2840"/>
      </w:tblGrid>
      <w:tr w14:paraId="2EFFB2C2">
        <w:tblPrEx>
          <w:tblBorders>
            <w:top w:val="dotted" w:color="929292" w:sz="6" w:space="0"/>
            <w:left w:val="single" w:color="929292" w:sz="2" w:space="0"/>
            <w:bottom w:val="dotted" w:color="929292" w:sz="6" w:space="0"/>
            <w:right w:val="single" w:color="929292" w:sz="2" w:space="0"/>
            <w:insideH w:val="single" w:color="929292" w:sz="2" w:space="0"/>
            <w:insideV w:val="single" w:color="929292" w:sz="2" w:space="0"/>
          </w:tblBorders>
          <w:tblCellMar>
            <w:top w:w="0" w:type="dxa"/>
            <w:left w:w="108" w:type="dxa"/>
            <w:bottom w:w="0" w:type="dxa"/>
            <w:right w:w="108" w:type="dxa"/>
          </w:tblCellMar>
        </w:tblPrEx>
        <w:trPr>
          <w:trHeight w:val="610" w:hRule="atLeast"/>
          <w:jc w:val="center"/>
        </w:trPr>
        <w:tc>
          <w:tcPr>
            <w:tcW w:w="3923" w:type="dxa"/>
            <w:tcBorders>
              <w:top w:val="nil"/>
              <w:left w:val="nil"/>
              <w:bottom w:val="dotted" w:color="929292" w:sz="6" w:space="0"/>
              <w:right w:val="nil"/>
            </w:tcBorders>
            <w:tcMar>
              <w:top w:w="80" w:type="dxa"/>
              <w:left w:w="80" w:type="dxa"/>
              <w:bottom w:w="80" w:type="dxa"/>
              <w:right w:w="80" w:type="dxa"/>
            </w:tcMar>
          </w:tcPr>
          <w:p w14:paraId="4941FC16">
            <w:pPr>
              <w:pStyle w:val="26"/>
            </w:pPr>
            <w:r>
              <w:rPr>
                <w:rFonts w:eastAsia="Arial Unicode MS" w:cs="Arial Unicode MS"/>
              </w:rPr>
              <w:t>PROF. VINCENT A. ONODUGO</w:t>
            </w:r>
          </w:p>
        </w:tc>
        <w:tc>
          <w:tcPr>
            <w:tcW w:w="2736" w:type="dxa"/>
            <w:tcBorders>
              <w:top w:val="nil"/>
              <w:left w:val="nil"/>
              <w:bottom w:val="dotted" w:color="929292" w:sz="6" w:space="0"/>
              <w:right w:val="nil"/>
            </w:tcBorders>
            <w:tcMar>
              <w:top w:w="80" w:type="dxa"/>
              <w:left w:w="80" w:type="dxa"/>
              <w:bottom w:w="80" w:type="dxa"/>
              <w:right w:w="80" w:type="dxa"/>
            </w:tcMar>
          </w:tcPr>
          <w:p w14:paraId="0370B582">
            <w:pPr>
              <w:pStyle w:val="26"/>
            </w:pPr>
            <w:r>
              <w:rPr>
                <w:rFonts w:eastAsia="Arial Unicode MS" w:cs="Arial Unicode MS"/>
              </w:rPr>
              <w:t xml:space="preserve">CHAIRMAN </w:t>
            </w:r>
          </w:p>
        </w:tc>
        <w:tc>
          <w:tcPr>
            <w:tcW w:w="2839" w:type="dxa"/>
            <w:tcBorders>
              <w:top w:val="nil"/>
              <w:left w:val="nil"/>
              <w:bottom w:val="dotted" w:color="929292" w:sz="6" w:space="0"/>
              <w:right w:val="nil"/>
            </w:tcBorders>
            <w:tcMar>
              <w:top w:w="80" w:type="dxa"/>
              <w:left w:w="80" w:type="dxa"/>
              <w:bottom w:w="80" w:type="dxa"/>
              <w:right w:w="80" w:type="dxa"/>
            </w:tcMar>
          </w:tcPr>
          <w:p w14:paraId="15EFE3B7">
            <w:pPr>
              <w:pStyle w:val="26"/>
            </w:pPr>
            <w:r>
              <w:rPr>
                <w:lang w:val="en-US" w:eastAsia="en-US"/>
              </w:rPr>
              <w:drawing>
                <wp:inline distT="0" distB="0" distL="0" distR="0">
                  <wp:extent cx="876300" cy="355600"/>
                  <wp:effectExtent l="0" t="0" r="0" b="0"/>
                  <wp:docPr id="1073741829" name="officeArt object"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officeArt object" descr="Image"/>
                          <pic:cNvPicPr>
                            <a:picLocks noChangeAspect="1"/>
                          </pic:cNvPicPr>
                        </pic:nvPicPr>
                        <pic:blipFill>
                          <a:blip r:embed="rId10"/>
                          <a:stretch>
                            <a:fillRect/>
                          </a:stretch>
                        </pic:blipFill>
                        <pic:spPr>
                          <a:xfrm>
                            <a:off x="0" y="0"/>
                            <a:ext cx="876300" cy="355600"/>
                          </a:xfrm>
                          <a:prstGeom prst="rect">
                            <a:avLst/>
                          </a:prstGeom>
                          <a:ln w="12700" cap="flat">
                            <a:noFill/>
                            <a:miter lim="400000"/>
                            <a:headEnd/>
                            <a:tailEnd/>
                          </a:ln>
                          <a:effectLst/>
                        </pic:spPr>
                      </pic:pic>
                    </a:graphicData>
                  </a:graphic>
                </wp:inline>
              </w:drawing>
            </w:r>
          </w:p>
        </w:tc>
      </w:tr>
      <w:tr w14:paraId="40F33D9D">
        <w:tblPrEx>
          <w:tblBorders>
            <w:top w:val="dotted" w:color="929292" w:sz="6" w:space="0"/>
            <w:left w:val="single" w:color="929292" w:sz="2" w:space="0"/>
            <w:bottom w:val="dotted" w:color="929292" w:sz="6" w:space="0"/>
            <w:right w:val="single" w:color="929292" w:sz="2" w:space="0"/>
            <w:insideH w:val="single" w:color="929292" w:sz="2" w:space="0"/>
            <w:insideV w:val="single" w:color="929292" w:sz="2" w:space="0"/>
          </w:tblBorders>
          <w:tblCellMar>
            <w:top w:w="0" w:type="dxa"/>
            <w:left w:w="108" w:type="dxa"/>
            <w:bottom w:w="0" w:type="dxa"/>
            <w:right w:w="108" w:type="dxa"/>
          </w:tblCellMar>
        </w:tblPrEx>
        <w:trPr>
          <w:trHeight w:val="688" w:hRule="atLeast"/>
          <w:jc w:val="center"/>
        </w:trPr>
        <w:tc>
          <w:tcPr>
            <w:tcW w:w="3923" w:type="dxa"/>
            <w:tcBorders>
              <w:top w:val="dotted" w:color="929292" w:sz="6" w:space="0"/>
              <w:left w:val="nil"/>
              <w:bottom w:val="dotted" w:color="929292" w:sz="6" w:space="0"/>
              <w:right w:val="nil"/>
            </w:tcBorders>
            <w:shd w:val="clear" w:color="auto" w:fill="FEFEFE"/>
            <w:tcMar>
              <w:top w:w="80" w:type="dxa"/>
              <w:left w:w="80" w:type="dxa"/>
              <w:bottom w:w="80" w:type="dxa"/>
              <w:right w:w="80" w:type="dxa"/>
            </w:tcMar>
          </w:tcPr>
          <w:p w14:paraId="227976B3">
            <w:pPr>
              <w:pStyle w:val="26"/>
            </w:pPr>
            <w:r>
              <w:rPr>
                <w:rFonts w:eastAsia="Arial Unicode MS" w:cs="Arial Unicode MS"/>
              </w:rPr>
              <w:t xml:space="preserve">PROF. IKE ERNEST ONYISHI </w:t>
            </w:r>
          </w:p>
        </w:tc>
        <w:tc>
          <w:tcPr>
            <w:tcW w:w="2736" w:type="dxa"/>
            <w:tcBorders>
              <w:top w:val="dotted" w:color="929292" w:sz="6" w:space="0"/>
              <w:left w:val="nil"/>
              <w:bottom w:val="dotted" w:color="929292" w:sz="6" w:space="0"/>
              <w:right w:val="nil"/>
            </w:tcBorders>
            <w:shd w:val="clear" w:color="auto" w:fill="FEFEFE"/>
            <w:tcMar>
              <w:top w:w="80" w:type="dxa"/>
              <w:left w:w="80" w:type="dxa"/>
              <w:bottom w:w="80" w:type="dxa"/>
              <w:right w:w="80" w:type="dxa"/>
            </w:tcMar>
          </w:tcPr>
          <w:p w14:paraId="28CB69AD">
            <w:pPr>
              <w:pStyle w:val="26"/>
            </w:pPr>
            <w:r>
              <w:rPr>
                <w:rFonts w:eastAsia="Arial Unicode MS" w:cs="Arial Unicode MS"/>
              </w:rPr>
              <w:t>MEMBER</w:t>
            </w:r>
          </w:p>
        </w:tc>
        <w:tc>
          <w:tcPr>
            <w:tcW w:w="2839" w:type="dxa"/>
            <w:tcBorders>
              <w:top w:val="dotted" w:color="929292" w:sz="6" w:space="0"/>
              <w:left w:val="nil"/>
              <w:bottom w:val="dotted" w:color="929292" w:sz="6" w:space="0"/>
              <w:right w:val="nil"/>
            </w:tcBorders>
            <w:shd w:val="clear" w:color="auto" w:fill="FEFEFE"/>
            <w:tcMar>
              <w:top w:w="80" w:type="dxa"/>
              <w:left w:w="80" w:type="dxa"/>
              <w:bottom w:w="80" w:type="dxa"/>
              <w:right w:w="80" w:type="dxa"/>
            </w:tcMar>
          </w:tcPr>
          <w:p w14:paraId="1EA1D19D">
            <w:pPr>
              <w:pStyle w:val="26"/>
            </w:pPr>
            <w:r>
              <w:rPr>
                <w:lang w:val="en-US" w:eastAsia="en-US"/>
              </w:rPr>
              <w:drawing>
                <wp:inline distT="0" distB="0" distL="0" distR="0">
                  <wp:extent cx="1701165" cy="400050"/>
                  <wp:effectExtent l="0" t="0" r="0" b="0"/>
                  <wp:docPr id="1073741830" name="officeArt object"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officeArt object" descr="Image"/>
                          <pic:cNvPicPr>
                            <a:picLocks noChangeAspect="1"/>
                          </pic:cNvPicPr>
                        </pic:nvPicPr>
                        <pic:blipFill>
                          <a:blip r:embed="rId11"/>
                          <a:stretch>
                            <a:fillRect/>
                          </a:stretch>
                        </pic:blipFill>
                        <pic:spPr>
                          <a:xfrm>
                            <a:off x="0" y="0"/>
                            <a:ext cx="1701662" cy="400391"/>
                          </a:xfrm>
                          <a:prstGeom prst="rect">
                            <a:avLst/>
                          </a:prstGeom>
                          <a:ln w="12700" cap="flat">
                            <a:noFill/>
                            <a:miter lim="400000"/>
                            <a:headEnd/>
                            <a:tailEnd/>
                          </a:ln>
                          <a:effectLst/>
                        </pic:spPr>
                      </pic:pic>
                    </a:graphicData>
                  </a:graphic>
                </wp:inline>
              </w:drawing>
            </w:r>
          </w:p>
        </w:tc>
      </w:tr>
      <w:tr w14:paraId="18F57394">
        <w:tblPrEx>
          <w:tblBorders>
            <w:top w:val="dotted" w:color="929292" w:sz="6" w:space="0"/>
            <w:left w:val="single" w:color="929292" w:sz="2" w:space="0"/>
            <w:bottom w:val="dotted" w:color="929292" w:sz="6" w:space="0"/>
            <w:right w:val="single" w:color="929292" w:sz="2" w:space="0"/>
            <w:insideH w:val="single" w:color="929292" w:sz="2" w:space="0"/>
            <w:insideV w:val="single" w:color="929292" w:sz="2" w:space="0"/>
          </w:tblBorders>
          <w:tblCellMar>
            <w:top w:w="0" w:type="dxa"/>
            <w:left w:w="108" w:type="dxa"/>
            <w:bottom w:w="0" w:type="dxa"/>
            <w:right w:w="108" w:type="dxa"/>
          </w:tblCellMar>
        </w:tblPrEx>
        <w:trPr>
          <w:trHeight w:val="405" w:hRule="atLeast"/>
          <w:jc w:val="center"/>
        </w:trPr>
        <w:tc>
          <w:tcPr>
            <w:tcW w:w="3923" w:type="dxa"/>
            <w:tcBorders>
              <w:top w:val="dotted" w:color="929292" w:sz="6" w:space="0"/>
              <w:left w:val="nil"/>
              <w:bottom w:val="dotted" w:color="929292" w:sz="6" w:space="0"/>
              <w:right w:val="nil"/>
            </w:tcBorders>
            <w:tcMar>
              <w:top w:w="80" w:type="dxa"/>
              <w:left w:w="80" w:type="dxa"/>
              <w:bottom w:w="80" w:type="dxa"/>
              <w:right w:w="80" w:type="dxa"/>
            </w:tcMar>
          </w:tcPr>
          <w:p w14:paraId="4E8F981C">
            <w:pPr>
              <w:pStyle w:val="26"/>
            </w:pPr>
            <w:r>
              <w:rPr>
                <w:rFonts w:eastAsia="Arial Unicode MS" w:cs="Arial Unicode MS"/>
              </w:rPr>
              <w:t>PROF. MICHAEL EBIE ONYIA</w:t>
            </w:r>
          </w:p>
        </w:tc>
        <w:tc>
          <w:tcPr>
            <w:tcW w:w="2736" w:type="dxa"/>
            <w:tcBorders>
              <w:top w:val="dotted" w:color="929292" w:sz="6" w:space="0"/>
              <w:left w:val="nil"/>
              <w:bottom w:val="dotted" w:color="929292" w:sz="6" w:space="0"/>
              <w:right w:val="nil"/>
            </w:tcBorders>
            <w:tcMar>
              <w:top w:w="80" w:type="dxa"/>
              <w:left w:w="80" w:type="dxa"/>
              <w:bottom w:w="80" w:type="dxa"/>
              <w:right w:w="80" w:type="dxa"/>
            </w:tcMar>
          </w:tcPr>
          <w:p w14:paraId="75CB4F79">
            <w:pPr>
              <w:pStyle w:val="26"/>
            </w:pPr>
            <w:r>
              <w:rPr>
                <w:rFonts w:eastAsia="Arial Unicode MS" w:cs="Arial Unicode MS"/>
              </w:rPr>
              <w:t>MEMBER</w:t>
            </w:r>
          </w:p>
        </w:tc>
        <w:tc>
          <w:tcPr>
            <w:tcW w:w="2839" w:type="dxa"/>
            <w:tcBorders>
              <w:top w:val="dotted" w:color="929292" w:sz="6" w:space="0"/>
              <w:left w:val="nil"/>
              <w:bottom w:val="dotted" w:color="929292" w:sz="6" w:space="0"/>
              <w:right w:val="nil"/>
            </w:tcBorders>
            <w:tcMar>
              <w:top w:w="80" w:type="dxa"/>
              <w:left w:w="80" w:type="dxa"/>
              <w:bottom w:w="80" w:type="dxa"/>
              <w:right w:w="80" w:type="dxa"/>
            </w:tcMar>
          </w:tcPr>
          <w:p w14:paraId="13B4C4FA">
            <w:pPr>
              <w:pStyle w:val="26"/>
            </w:pPr>
            <w:r>
              <w:rPr>
                <w:lang w:val="en-US" w:eastAsia="en-US"/>
              </w:rPr>
              <w:drawing>
                <wp:inline distT="0" distB="0" distL="0" distR="0">
                  <wp:extent cx="1701165" cy="220345"/>
                  <wp:effectExtent l="0" t="0" r="0" b="0"/>
                  <wp:docPr id="1073741831" name="officeArt object"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officeArt object" descr="Image"/>
                          <pic:cNvPicPr>
                            <a:picLocks noChangeAspect="1"/>
                          </pic:cNvPicPr>
                        </pic:nvPicPr>
                        <pic:blipFill>
                          <a:blip r:embed="rId12"/>
                          <a:stretch>
                            <a:fillRect/>
                          </a:stretch>
                        </pic:blipFill>
                        <pic:spPr>
                          <a:xfrm>
                            <a:off x="0" y="0"/>
                            <a:ext cx="1701662" cy="220360"/>
                          </a:xfrm>
                          <a:prstGeom prst="rect">
                            <a:avLst/>
                          </a:prstGeom>
                          <a:ln w="12700" cap="flat">
                            <a:noFill/>
                            <a:miter lim="400000"/>
                            <a:headEnd/>
                            <a:tailEnd/>
                          </a:ln>
                          <a:effectLst/>
                        </pic:spPr>
                      </pic:pic>
                    </a:graphicData>
                  </a:graphic>
                </wp:inline>
              </w:drawing>
            </w:r>
          </w:p>
        </w:tc>
      </w:tr>
      <w:tr w14:paraId="2385CB8B">
        <w:tblPrEx>
          <w:tblBorders>
            <w:top w:val="dotted" w:color="929292" w:sz="6" w:space="0"/>
            <w:left w:val="single" w:color="929292" w:sz="2" w:space="0"/>
            <w:bottom w:val="dotted" w:color="929292" w:sz="6" w:space="0"/>
            <w:right w:val="single" w:color="929292" w:sz="2" w:space="0"/>
            <w:insideH w:val="single" w:color="929292" w:sz="2" w:space="0"/>
            <w:insideV w:val="single" w:color="929292" w:sz="2" w:space="0"/>
          </w:tblBorders>
          <w:tblCellMar>
            <w:top w:w="0" w:type="dxa"/>
            <w:left w:w="108" w:type="dxa"/>
            <w:bottom w:w="0" w:type="dxa"/>
            <w:right w:w="108" w:type="dxa"/>
          </w:tblCellMar>
        </w:tblPrEx>
        <w:trPr>
          <w:trHeight w:val="527" w:hRule="atLeast"/>
          <w:jc w:val="center"/>
        </w:trPr>
        <w:tc>
          <w:tcPr>
            <w:tcW w:w="3923" w:type="dxa"/>
            <w:tcBorders>
              <w:top w:val="dotted" w:color="929292" w:sz="6" w:space="0"/>
              <w:left w:val="nil"/>
              <w:bottom w:val="dotted" w:color="929292" w:sz="6" w:space="0"/>
              <w:right w:val="nil"/>
            </w:tcBorders>
            <w:shd w:val="clear" w:color="auto" w:fill="FEFEFE"/>
            <w:tcMar>
              <w:top w:w="80" w:type="dxa"/>
              <w:left w:w="80" w:type="dxa"/>
              <w:bottom w:w="80" w:type="dxa"/>
              <w:right w:w="80" w:type="dxa"/>
            </w:tcMar>
          </w:tcPr>
          <w:p w14:paraId="1B5FB68E">
            <w:pPr>
              <w:pStyle w:val="26"/>
            </w:pPr>
            <w:r>
              <w:rPr>
                <w:rFonts w:eastAsia="Arial Unicode MS" w:cs="Arial Unicode MS"/>
              </w:rPr>
              <w:t>PROF. MATTHIAS ONYEBUCHI AGBO</w:t>
            </w:r>
          </w:p>
        </w:tc>
        <w:tc>
          <w:tcPr>
            <w:tcW w:w="2736" w:type="dxa"/>
            <w:tcBorders>
              <w:top w:val="dotted" w:color="929292" w:sz="6" w:space="0"/>
              <w:left w:val="nil"/>
              <w:bottom w:val="dotted" w:color="929292" w:sz="6" w:space="0"/>
              <w:right w:val="nil"/>
            </w:tcBorders>
            <w:shd w:val="clear" w:color="auto" w:fill="FEFEFE"/>
            <w:tcMar>
              <w:top w:w="80" w:type="dxa"/>
              <w:left w:w="80" w:type="dxa"/>
              <w:bottom w:w="80" w:type="dxa"/>
              <w:right w:w="80" w:type="dxa"/>
            </w:tcMar>
          </w:tcPr>
          <w:p w14:paraId="41EB2B7F">
            <w:pPr>
              <w:pStyle w:val="26"/>
            </w:pPr>
            <w:r>
              <w:rPr>
                <w:rFonts w:eastAsia="Arial Unicode MS" w:cs="Arial Unicode MS"/>
              </w:rPr>
              <w:t>MEMBER</w:t>
            </w:r>
          </w:p>
        </w:tc>
        <w:tc>
          <w:tcPr>
            <w:tcW w:w="2839" w:type="dxa"/>
            <w:tcBorders>
              <w:top w:val="dotted" w:color="929292" w:sz="6" w:space="0"/>
              <w:left w:val="nil"/>
              <w:bottom w:val="dotted" w:color="929292" w:sz="6" w:space="0"/>
              <w:right w:val="nil"/>
            </w:tcBorders>
            <w:shd w:val="clear" w:color="auto" w:fill="FEFEFE"/>
            <w:tcMar>
              <w:top w:w="80" w:type="dxa"/>
              <w:left w:w="80" w:type="dxa"/>
              <w:bottom w:w="80" w:type="dxa"/>
              <w:right w:w="80" w:type="dxa"/>
            </w:tcMar>
          </w:tcPr>
          <w:p w14:paraId="75F06CAB">
            <w:pPr>
              <w:pStyle w:val="26"/>
            </w:pPr>
            <w:r>
              <w:rPr>
                <w:lang w:val="en-US" w:eastAsia="en-US"/>
              </w:rPr>
              <w:drawing>
                <wp:inline distT="0" distB="0" distL="0" distR="0">
                  <wp:extent cx="1701165" cy="297180"/>
                  <wp:effectExtent l="0" t="0" r="0" b="0"/>
                  <wp:docPr id="1073741832" name="officeArt object"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descr="Image"/>
                          <pic:cNvPicPr>
                            <a:picLocks noChangeAspect="1"/>
                          </pic:cNvPicPr>
                        </pic:nvPicPr>
                        <pic:blipFill>
                          <a:blip r:embed="rId13"/>
                          <a:stretch>
                            <a:fillRect/>
                          </a:stretch>
                        </pic:blipFill>
                        <pic:spPr>
                          <a:xfrm>
                            <a:off x="0" y="0"/>
                            <a:ext cx="1701662" cy="297791"/>
                          </a:xfrm>
                          <a:prstGeom prst="rect">
                            <a:avLst/>
                          </a:prstGeom>
                          <a:ln w="12700" cap="flat">
                            <a:noFill/>
                            <a:miter lim="400000"/>
                            <a:headEnd/>
                            <a:tailEnd/>
                          </a:ln>
                          <a:effectLst/>
                        </pic:spPr>
                      </pic:pic>
                    </a:graphicData>
                  </a:graphic>
                </wp:inline>
              </w:drawing>
            </w:r>
          </w:p>
        </w:tc>
      </w:tr>
      <w:tr w14:paraId="2EB27102">
        <w:tblPrEx>
          <w:tblBorders>
            <w:top w:val="dotted" w:color="929292" w:sz="6" w:space="0"/>
            <w:left w:val="single" w:color="929292" w:sz="2" w:space="0"/>
            <w:bottom w:val="dotted" w:color="929292" w:sz="6" w:space="0"/>
            <w:right w:val="single" w:color="929292" w:sz="2" w:space="0"/>
            <w:insideH w:val="single" w:color="929292" w:sz="2" w:space="0"/>
            <w:insideV w:val="single" w:color="929292" w:sz="2" w:space="0"/>
          </w:tblBorders>
          <w:tblCellMar>
            <w:top w:w="0" w:type="dxa"/>
            <w:left w:w="108" w:type="dxa"/>
            <w:bottom w:w="0" w:type="dxa"/>
            <w:right w:w="108" w:type="dxa"/>
          </w:tblCellMar>
        </w:tblPrEx>
        <w:trPr>
          <w:trHeight w:val="398" w:hRule="atLeast"/>
          <w:jc w:val="center"/>
        </w:trPr>
        <w:tc>
          <w:tcPr>
            <w:tcW w:w="3923" w:type="dxa"/>
            <w:tcBorders>
              <w:top w:val="dotted" w:color="929292" w:sz="6" w:space="0"/>
              <w:left w:val="nil"/>
              <w:bottom w:val="dotted" w:color="929292" w:sz="6" w:space="0"/>
              <w:right w:val="nil"/>
            </w:tcBorders>
            <w:tcMar>
              <w:top w:w="80" w:type="dxa"/>
              <w:left w:w="80" w:type="dxa"/>
              <w:bottom w:w="80" w:type="dxa"/>
              <w:right w:w="80" w:type="dxa"/>
            </w:tcMar>
          </w:tcPr>
          <w:p w14:paraId="5EDE4ADE">
            <w:pPr>
              <w:pStyle w:val="26"/>
            </w:pPr>
            <w:r>
              <w:rPr>
                <w:rFonts w:eastAsia="Arial Unicode MS" w:cs="Arial Unicode MS"/>
              </w:rPr>
              <w:t xml:space="preserve">PROF. UGOCHUKWU UZOCHUKWU </w:t>
            </w:r>
          </w:p>
        </w:tc>
        <w:tc>
          <w:tcPr>
            <w:tcW w:w="2736" w:type="dxa"/>
            <w:tcBorders>
              <w:top w:val="dotted" w:color="929292" w:sz="6" w:space="0"/>
              <w:left w:val="nil"/>
              <w:bottom w:val="dotted" w:color="929292" w:sz="6" w:space="0"/>
              <w:right w:val="nil"/>
            </w:tcBorders>
            <w:tcMar>
              <w:top w:w="80" w:type="dxa"/>
              <w:left w:w="80" w:type="dxa"/>
              <w:bottom w:w="80" w:type="dxa"/>
              <w:right w:w="80" w:type="dxa"/>
            </w:tcMar>
          </w:tcPr>
          <w:p w14:paraId="10EB0968">
            <w:pPr>
              <w:pStyle w:val="26"/>
            </w:pPr>
            <w:r>
              <w:rPr>
                <w:rFonts w:eastAsia="Arial Unicode MS" w:cs="Arial Unicode MS"/>
              </w:rPr>
              <w:t xml:space="preserve">MEMBER </w:t>
            </w:r>
          </w:p>
        </w:tc>
        <w:tc>
          <w:tcPr>
            <w:tcW w:w="2839" w:type="dxa"/>
            <w:tcBorders>
              <w:top w:val="dotted" w:color="929292" w:sz="6" w:space="0"/>
              <w:left w:val="nil"/>
              <w:bottom w:val="dotted" w:color="929292" w:sz="6" w:space="0"/>
              <w:right w:val="nil"/>
            </w:tcBorders>
            <w:tcMar>
              <w:top w:w="80" w:type="dxa"/>
              <w:left w:w="80" w:type="dxa"/>
              <w:bottom w:w="80" w:type="dxa"/>
              <w:right w:w="80" w:type="dxa"/>
            </w:tcMar>
          </w:tcPr>
          <w:p w14:paraId="23D49DB2">
            <w:pPr>
              <w:pStyle w:val="26"/>
            </w:pPr>
            <w:r>
              <w:rPr>
                <w:lang w:val="en-US" w:eastAsia="en-US"/>
              </w:rPr>
              <w:drawing>
                <wp:inline distT="0" distB="0" distL="0" distR="0">
                  <wp:extent cx="685800" cy="215900"/>
                  <wp:effectExtent l="0" t="0" r="0" b="0"/>
                  <wp:docPr id="1073741833" name="officeArt object"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officeArt object" descr="Image"/>
                          <pic:cNvPicPr>
                            <a:picLocks noChangeAspect="1"/>
                          </pic:cNvPicPr>
                        </pic:nvPicPr>
                        <pic:blipFill>
                          <a:blip r:embed="rId14"/>
                          <a:stretch>
                            <a:fillRect/>
                          </a:stretch>
                        </pic:blipFill>
                        <pic:spPr>
                          <a:xfrm>
                            <a:off x="0" y="0"/>
                            <a:ext cx="685800" cy="215900"/>
                          </a:xfrm>
                          <a:prstGeom prst="rect">
                            <a:avLst/>
                          </a:prstGeom>
                          <a:ln w="12700" cap="flat">
                            <a:noFill/>
                            <a:miter lim="400000"/>
                            <a:headEnd/>
                            <a:tailEnd/>
                          </a:ln>
                          <a:effectLst/>
                        </pic:spPr>
                      </pic:pic>
                    </a:graphicData>
                  </a:graphic>
                </wp:inline>
              </w:drawing>
            </w:r>
          </w:p>
        </w:tc>
      </w:tr>
      <w:tr w14:paraId="56C1F6D5">
        <w:tblPrEx>
          <w:tblBorders>
            <w:top w:val="dotted" w:color="929292" w:sz="6" w:space="0"/>
            <w:left w:val="single" w:color="929292" w:sz="2" w:space="0"/>
            <w:bottom w:val="dotted" w:color="929292" w:sz="6" w:space="0"/>
            <w:right w:val="single" w:color="929292" w:sz="2" w:space="0"/>
            <w:insideH w:val="single" w:color="929292" w:sz="2" w:space="0"/>
            <w:insideV w:val="single" w:color="929292" w:sz="2" w:space="0"/>
          </w:tblBorders>
          <w:tblCellMar>
            <w:top w:w="0" w:type="dxa"/>
            <w:left w:w="108" w:type="dxa"/>
            <w:bottom w:w="0" w:type="dxa"/>
            <w:right w:w="108" w:type="dxa"/>
          </w:tblCellMar>
        </w:tblPrEx>
        <w:trPr>
          <w:trHeight w:val="295" w:hRule="atLeast"/>
          <w:jc w:val="center"/>
        </w:trPr>
        <w:tc>
          <w:tcPr>
            <w:tcW w:w="3923" w:type="dxa"/>
            <w:tcBorders>
              <w:top w:val="dotted" w:color="929292" w:sz="6" w:space="0"/>
              <w:left w:val="nil"/>
              <w:bottom w:val="dotted" w:color="929292" w:sz="6" w:space="0"/>
              <w:right w:val="nil"/>
            </w:tcBorders>
            <w:shd w:val="clear" w:color="auto" w:fill="FEFEFE"/>
            <w:tcMar>
              <w:top w:w="80" w:type="dxa"/>
              <w:left w:w="80" w:type="dxa"/>
              <w:bottom w:w="80" w:type="dxa"/>
              <w:right w:w="80" w:type="dxa"/>
            </w:tcMar>
          </w:tcPr>
          <w:p w14:paraId="0EA62E2D">
            <w:pPr>
              <w:pStyle w:val="26"/>
            </w:pPr>
            <w:r>
              <w:rPr>
                <w:rFonts w:eastAsia="Arial Unicode MS" w:cs="Arial Unicode MS"/>
              </w:rPr>
              <w:t>DR. JUDE CHIDIEBERE ANAGO</w:t>
            </w:r>
          </w:p>
        </w:tc>
        <w:tc>
          <w:tcPr>
            <w:tcW w:w="2736" w:type="dxa"/>
            <w:tcBorders>
              <w:top w:val="dotted" w:color="929292" w:sz="6" w:space="0"/>
              <w:left w:val="nil"/>
              <w:bottom w:val="dotted" w:color="929292" w:sz="6" w:space="0"/>
              <w:right w:val="nil"/>
            </w:tcBorders>
            <w:shd w:val="clear" w:color="auto" w:fill="FEFEFE"/>
            <w:tcMar>
              <w:top w:w="80" w:type="dxa"/>
              <w:left w:w="80" w:type="dxa"/>
              <w:bottom w:w="80" w:type="dxa"/>
              <w:right w:w="80" w:type="dxa"/>
            </w:tcMar>
          </w:tcPr>
          <w:p w14:paraId="18461CA9">
            <w:pPr>
              <w:pStyle w:val="26"/>
            </w:pPr>
            <w:r>
              <w:rPr>
                <w:rFonts w:eastAsia="Arial Unicode MS" w:cs="Arial Unicode MS"/>
              </w:rPr>
              <w:t>MEMBER</w:t>
            </w:r>
          </w:p>
        </w:tc>
        <w:tc>
          <w:tcPr>
            <w:tcW w:w="2839" w:type="dxa"/>
            <w:tcBorders>
              <w:top w:val="dotted" w:color="929292" w:sz="6" w:space="0"/>
              <w:left w:val="nil"/>
              <w:bottom w:val="dotted" w:color="929292" w:sz="6" w:space="0"/>
              <w:right w:val="nil"/>
            </w:tcBorders>
            <w:shd w:val="clear" w:color="auto" w:fill="FEFEFE"/>
            <w:tcMar>
              <w:top w:w="80" w:type="dxa"/>
              <w:left w:w="80" w:type="dxa"/>
              <w:bottom w:w="80" w:type="dxa"/>
              <w:right w:w="80" w:type="dxa"/>
            </w:tcMar>
          </w:tcPr>
          <w:p w14:paraId="54C64E98">
            <w:r>
              <w:drawing>
                <wp:inline distT="0" distB="0" distL="0" distR="0">
                  <wp:extent cx="1308735" cy="3625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9749" cy="379489"/>
                          </a:xfrm>
                          <a:prstGeom prst="rect">
                            <a:avLst/>
                          </a:prstGeom>
                        </pic:spPr>
                      </pic:pic>
                    </a:graphicData>
                  </a:graphic>
                </wp:inline>
              </w:drawing>
            </w:r>
          </w:p>
        </w:tc>
      </w:tr>
      <w:tr w14:paraId="3C9384EA">
        <w:tblPrEx>
          <w:tblBorders>
            <w:top w:val="dotted" w:color="929292" w:sz="6" w:space="0"/>
            <w:left w:val="single" w:color="929292" w:sz="2" w:space="0"/>
            <w:bottom w:val="dotted" w:color="929292" w:sz="6" w:space="0"/>
            <w:right w:val="single" w:color="929292" w:sz="2" w:space="0"/>
            <w:insideH w:val="single" w:color="929292" w:sz="2" w:space="0"/>
            <w:insideV w:val="single" w:color="929292" w:sz="2" w:space="0"/>
          </w:tblBorders>
          <w:tblCellMar>
            <w:top w:w="0" w:type="dxa"/>
            <w:left w:w="108" w:type="dxa"/>
            <w:bottom w:w="0" w:type="dxa"/>
            <w:right w:w="108" w:type="dxa"/>
          </w:tblCellMar>
        </w:tblPrEx>
        <w:trPr>
          <w:trHeight w:val="538" w:hRule="atLeast"/>
          <w:jc w:val="center"/>
        </w:trPr>
        <w:tc>
          <w:tcPr>
            <w:tcW w:w="3923" w:type="dxa"/>
            <w:tcBorders>
              <w:top w:val="dotted" w:color="929292" w:sz="6" w:space="0"/>
              <w:left w:val="nil"/>
              <w:bottom w:val="dotted" w:color="929292" w:sz="6" w:space="0"/>
              <w:right w:val="nil"/>
            </w:tcBorders>
            <w:tcMar>
              <w:top w:w="80" w:type="dxa"/>
              <w:left w:w="80" w:type="dxa"/>
              <w:bottom w:w="80" w:type="dxa"/>
              <w:right w:w="80" w:type="dxa"/>
            </w:tcMar>
          </w:tcPr>
          <w:p w14:paraId="6A272C82">
            <w:pPr>
              <w:pStyle w:val="26"/>
            </w:pPr>
            <w:r>
              <w:rPr>
                <w:rFonts w:eastAsia="Arial Unicode MS" w:cs="Arial Unicode MS"/>
              </w:rPr>
              <w:t>DR. CHIUGO CATHERINE KANU</w:t>
            </w:r>
          </w:p>
        </w:tc>
        <w:tc>
          <w:tcPr>
            <w:tcW w:w="2736" w:type="dxa"/>
            <w:tcBorders>
              <w:top w:val="dotted" w:color="929292" w:sz="6" w:space="0"/>
              <w:left w:val="nil"/>
              <w:bottom w:val="dotted" w:color="929292" w:sz="6" w:space="0"/>
              <w:right w:val="nil"/>
            </w:tcBorders>
            <w:tcMar>
              <w:top w:w="80" w:type="dxa"/>
              <w:left w:w="80" w:type="dxa"/>
              <w:bottom w:w="80" w:type="dxa"/>
              <w:right w:w="80" w:type="dxa"/>
            </w:tcMar>
          </w:tcPr>
          <w:p w14:paraId="7BE35CFA">
            <w:pPr>
              <w:pStyle w:val="26"/>
            </w:pPr>
            <w:r>
              <w:rPr>
                <w:rFonts w:eastAsia="Arial Unicode MS" w:cs="Arial Unicode MS"/>
              </w:rPr>
              <w:t>MEMBER</w:t>
            </w:r>
          </w:p>
        </w:tc>
        <w:tc>
          <w:tcPr>
            <w:tcW w:w="2839" w:type="dxa"/>
            <w:tcBorders>
              <w:top w:val="dotted" w:color="929292" w:sz="6" w:space="0"/>
              <w:left w:val="nil"/>
              <w:bottom w:val="dotted" w:color="929292" w:sz="6" w:space="0"/>
              <w:right w:val="nil"/>
            </w:tcBorders>
            <w:tcMar>
              <w:top w:w="80" w:type="dxa"/>
              <w:left w:w="80" w:type="dxa"/>
              <w:bottom w:w="80" w:type="dxa"/>
              <w:right w:w="80" w:type="dxa"/>
            </w:tcMar>
          </w:tcPr>
          <w:p w14:paraId="5C72D649">
            <w:pPr>
              <w:pStyle w:val="26"/>
            </w:pPr>
            <w:r>
              <w:rPr>
                <w:lang w:val="en-US" w:eastAsia="en-US"/>
              </w:rPr>
              <w:drawing>
                <wp:inline distT="0" distB="0" distL="0" distR="0">
                  <wp:extent cx="1130300" cy="304800"/>
                  <wp:effectExtent l="0" t="0" r="0" b="0"/>
                  <wp:docPr id="1073741834" name="officeArt object"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officeArt object" descr="Image"/>
                          <pic:cNvPicPr>
                            <a:picLocks noChangeAspect="1"/>
                          </pic:cNvPicPr>
                        </pic:nvPicPr>
                        <pic:blipFill>
                          <a:blip r:embed="rId16"/>
                          <a:stretch>
                            <a:fillRect/>
                          </a:stretch>
                        </pic:blipFill>
                        <pic:spPr>
                          <a:xfrm>
                            <a:off x="0" y="0"/>
                            <a:ext cx="1130300" cy="304800"/>
                          </a:xfrm>
                          <a:prstGeom prst="rect">
                            <a:avLst/>
                          </a:prstGeom>
                          <a:ln w="12700" cap="flat">
                            <a:noFill/>
                            <a:miter lim="400000"/>
                            <a:headEnd/>
                            <a:tailEnd/>
                          </a:ln>
                          <a:effectLst/>
                        </pic:spPr>
                      </pic:pic>
                    </a:graphicData>
                  </a:graphic>
                </wp:inline>
              </w:drawing>
            </w:r>
          </w:p>
        </w:tc>
      </w:tr>
      <w:tr w14:paraId="193D09D4">
        <w:tblPrEx>
          <w:tblBorders>
            <w:top w:val="dotted" w:color="929292" w:sz="6" w:space="0"/>
            <w:left w:val="single" w:color="929292" w:sz="2" w:space="0"/>
            <w:bottom w:val="dotted" w:color="929292" w:sz="6" w:space="0"/>
            <w:right w:val="single" w:color="929292" w:sz="2" w:space="0"/>
            <w:insideH w:val="single" w:color="929292" w:sz="2" w:space="0"/>
            <w:insideV w:val="single" w:color="929292" w:sz="2" w:space="0"/>
          </w:tblBorders>
          <w:tblCellMar>
            <w:top w:w="0" w:type="dxa"/>
            <w:left w:w="108" w:type="dxa"/>
            <w:bottom w:w="0" w:type="dxa"/>
            <w:right w:w="108" w:type="dxa"/>
          </w:tblCellMar>
        </w:tblPrEx>
        <w:trPr>
          <w:trHeight w:val="630" w:hRule="atLeast"/>
          <w:jc w:val="center"/>
        </w:trPr>
        <w:tc>
          <w:tcPr>
            <w:tcW w:w="3923" w:type="dxa"/>
            <w:tcBorders>
              <w:top w:val="dotted" w:color="929292" w:sz="6" w:space="0"/>
              <w:left w:val="nil"/>
              <w:bottom w:val="nil"/>
              <w:right w:val="nil"/>
            </w:tcBorders>
            <w:shd w:val="clear" w:color="auto" w:fill="FEFEFE"/>
            <w:tcMar>
              <w:top w:w="80" w:type="dxa"/>
              <w:left w:w="80" w:type="dxa"/>
              <w:bottom w:w="80" w:type="dxa"/>
              <w:right w:w="80" w:type="dxa"/>
            </w:tcMar>
          </w:tcPr>
          <w:p w14:paraId="025EC90C">
            <w:pPr>
              <w:pStyle w:val="26"/>
            </w:pPr>
            <w:r>
              <w:rPr>
                <w:rFonts w:eastAsia="Arial Unicode MS" w:cs="Arial Unicode MS"/>
              </w:rPr>
              <w:t>MR. OBINNA UNUOBIA</w:t>
            </w:r>
          </w:p>
        </w:tc>
        <w:tc>
          <w:tcPr>
            <w:tcW w:w="2736" w:type="dxa"/>
            <w:tcBorders>
              <w:top w:val="dotted" w:color="929292" w:sz="6" w:space="0"/>
              <w:left w:val="nil"/>
              <w:bottom w:val="nil"/>
              <w:right w:val="nil"/>
            </w:tcBorders>
            <w:shd w:val="clear" w:color="auto" w:fill="FEFEFE"/>
            <w:tcMar>
              <w:top w:w="80" w:type="dxa"/>
              <w:left w:w="80" w:type="dxa"/>
              <w:bottom w:w="80" w:type="dxa"/>
              <w:right w:w="80" w:type="dxa"/>
            </w:tcMar>
          </w:tcPr>
          <w:p w14:paraId="09538224">
            <w:pPr>
              <w:pStyle w:val="26"/>
            </w:pPr>
            <w:r>
              <w:rPr>
                <w:rFonts w:eastAsia="Arial Unicode MS" w:cs="Arial Unicode MS"/>
              </w:rPr>
              <w:t xml:space="preserve">SECRETARY </w:t>
            </w:r>
          </w:p>
        </w:tc>
        <w:tc>
          <w:tcPr>
            <w:tcW w:w="2839" w:type="dxa"/>
            <w:tcBorders>
              <w:top w:val="dotted" w:color="929292" w:sz="6" w:space="0"/>
              <w:left w:val="nil"/>
              <w:bottom w:val="nil"/>
              <w:right w:val="nil"/>
            </w:tcBorders>
            <w:shd w:val="clear" w:color="auto" w:fill="FEFEFE"/>
            <w:tcMar>
              <w:top w:w="80" w:type="dxa"/>
              <w:left w:w="80" w:type="dxa"/>
              <w:bottom w:w="80" w:type="dxa"/>
              <w:right w:w="80" w:type="dxa"/>
            </w:tcMar>
          </w:tcPr>
          <w:p w14:paraId="63B45C12">
            <w:pPr>
              <w:pStyle w:val="25"/>
            </w:pPr>
            <w:r>
              <w:rPr>
                <w:lang w:val="en-US" w:eastAsia="en-US"/>
              </w:rPr>
              <w:drawing>
                <wp:inline distT="0" distB="0" distL="0" distR="0">
                  <wp:extent cx="990600" cy="368300"/>
                  <wp:effectExtent l="0" t="0" r="0" b="0"/>
                  <wp:docPr id="1073741835" name="officeArt object"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officeArt object" descr="Image"/>
                          <pic:cNvPicPr>
                            <a:picLocks noChangeAspect="1"/>
                          </pic:cNvPicPr>
                        </pic:nvPicPr>
                        <pic:blipFill>
                          <a:blip r:embed="rId17"/>
                          <a:stretch>
                            <a:fillRect/>
                          </a:stretch>
                        </pic:blipFill>
                        <pic:spPr>
                          <a:xfrm>
                            <a:off x="0" y="0"/>
                            <a:ext cx="990600" cy="368300"/>
                          </a:xfrm>
                          <a:prstGeom prst="rect">
                            <a:avLst/>
                          </a:prstGeom>
                          <a:ln w="12700" cap="flat">
                            <a:noFill/>
                            <a:miter lim="400000"/>
                            <a:headEnd/>
                            <a:tailEnd/>
                          </a:ln>
                          <a:effectLst/>
                        </pic:spPr>
                      </pic:pic>
                    </a:graphicData>
                  </a:graphic>
                </wp:inline>
              </w:drawing>
            </w:r>
          </w:p>
        </w:tc>
      </w:tr>
    </w:tbl>
    <w:p w14:paraId="55AED8C4">
      <w:pPr>
        <w:pStyle w:val="24"/>
        <w:jc w:val="center"/>
      </w:pPr>
    </w:p>
    <w:p w14:paraId="2FBEAD5F">
      <w:pPr>
        <w:pStyle w:val="24"/>
        <w:jc w:val="center"/>
      </w:pPr>
    </w:p>
    <w:p w14:paraId="410DEB01">
      <w:pPr>
        <w:pStyle w:val="24"/>
        <w:jc w:val="center"/>
      </w:pPr>
    </w:p>
    <w:p w14:paraId="4DFD68DE">
      <w:pPr>
        <w:pStyle w:val="24"/>
        <w:jc w:val="center"/>
      </w:pPr>
    </w:p>
    <w:p w14:paraId="0DACEEE2">
      <w:pPr>
        <w:pStyle w:val="24"/>
        <w:jc w:val="center"/>
      </w:pPr>
    </w:p>
    <w:p w14:paraId="3E550C99">
      <w:pPr>
        <w:pStyle w:val="24"/>
        <w:jc w:val="center"/>
      </w:pPr>
    </w:p>
    <w:p w14:paraId="5FD121C5">
      <w:pPr>
        <w:pStyle w:val="24"/>
        <w:jc w:val="center"/>
      </w:pPr>
    </w:p>
    <w:p w14:paraId="75097AC0">
      <w:pPr>
        <w:pStyle w:val="3"/>
      </w:pPr>
    </w:p>
    <w:p w14:paraId="07B6FF14">
      <w:pPr>
        <w:pStyle w:val="3"/>
      </w:pPr>
    </w:p>
    <w:p w14:paraId="12646854">
      <w:pPr>
        <w:pStyle w:val="3"/>
      </w:pPr>
    </w:p>
    <w:p w14:paraId="31030BA0">
      <w:pPr>
        <w:pStyle w:val="24"/>
        <w:jc w:val="center"/>
      </w:pPr>
    </w:p>
    <w:p w14:paraId="5CE1B9F0">
      <w:pPr>
        <w:pStyle w:val="3"/>
      </w:pPr>
    </w:p>
    <w:p w14:paraId="5AA70A99">
      <w:pPr>
        <w:pStyle w:val="3"/>
      </w:pPr>
    </w:p>
    <w:p w14:paraId="554E6453">
      <w:pPr>
        <w:pStyle w:val="3"/>
      </w:pPr>
    </w:p>
    <w:p w14:paraId="3B6BAEB3">
      <w:pPr>
        <w:pStyle w:val="3"/>
      </w:pPr>
    </w:p>
    <w:p w14:paraId="2D19EE1B">
      <w:pPr>
        <w:pStyle w:val="3"/>
      </w:pPr>
    </w:p>
    <w:p w14:paraId="56D05CEC">
      <w:pPr>
        <w:pStyle w:val="3"/>
      </w:pPr>
    </w:p>
    <w:p w14:paraId="12899EC8">
      <w:pPr>
        <w:pStyle w:val="3"/>
      </w:pPr>
    </w:p>
    <w:p w14:paraId="449D185A">
      <w:pPr>
        <w:pStyle w:val="3"/>
      </w:pPr>
    </w:p>
    <w:p w14:paraId="59BC094A">
      <w:pPr>
        <w:pStyle w:val="3"/>
      </w:pPr>
    </w:p>
    <w:p w14:paraId="1DBD387F">
      <w:pPr>
        <w:pStyle w:val="3"/>
      </w:pPr>
    </w:p>
    <w:p w14:paraId="7F2D2717">
      <w:pPr>
        <w:pStyle w:val="3"/>
      </w:pPr>
    </w:p>
    <w:p w14:paraId="02419E16">
      <w:pPr>
        <w:pStyle w:val="3"/>
      </w:pPr>
    </w:p>
    <w:p w14:paraId="2A5A67B8">
      <w:pPr>
        <w:pStyle w:val="3"/>
      </w:pPr>
    </w:p>
    <w:p w14:paraId="6949BA63">
      <w:pPr>
        <w:pStyle w:val="3"/>
      </w:pPr>
    </w:p>
    <w:p w14:paraId="4C804FD1">
      <w:pPr>
        <w:pStyle w:val="3"/>
      </w:pPr>
    </w:p>
    <w:p w14:paraId="7182D552">
      <w:pPr>
        <w:pStyle w:val="3"/>
      </w:pPr>
    </w:p>
    <w:p w14:paraId="433EA72C">
      <w:pPr>
        <w:pStyle w:val="3"/>
        <w:rPr>
          <w:lang w:eastAsia="zh-CN"/>
        </w:rPr>
      </w:pPr>
    </w:p>
    <w:p w14:paraId="55A00A8A">
      <w:pPr>
        <w:pStyle w:val="3"/>
        <w:rPr>
          <w:lang w:eastAsia="zh-CN"/>
        </w:rPr>
      </w:pPr>
    </w:p>
    <w:p w14:paraId="77C13BE0">
      <w:pPr>
        <w:pStyle w:val="3"/>
        <w:rPr>
          <w:lang w:eastAsia="zh-CN"/>
        </w:rPr>
      </w:pPr>
    </w:p>
    <w:p w14:paraId="4B230838">
      <w:pPr>
        <w:pStyle w:val="3"/>
        <w:rPr>
          <w:lang w:eastAsia="zh-CN"/>
        </w:rPr>
      </w:pPr>
    </w:p>
    <w:p w14:paraId="19FF3253">
      <w:pPr>
        <w:pStyle w:val="3"/>
        <w:rPr>
          <w:lang w:eastAsia="zh-CN"/>
        </w:rPr>
      </w:pPr>
    </w:p>
    <w:p w14:paraId="6E3A55CB">
      <w:pPr>
        <w:pStyle w:val="3"/>
        <w:rPr>
          <w:lang w:eastAsia="zh-CN"/>
        </w:rPr>
      </w:pPr>
    </w:p>
    <w:p w14:paraId="4EFA3D10">
      <w:pPr>
        <w:pStyle w:val="3"/>
        <w:rPr>
          <w:lang w:eastAsia="zh-CN"/>
        </w:rPr>
      </w:pPr>
    </w:p>
    <w:p w14:paraId="71057370">
      <w:pPr>
        <w:pStyle w:val="3"/>
        <w:rPr>
          <w:lang w:eastAsia="zh-CN"/>
        </w:rPr>
      </w:pPr>
    </w:p>
    <w:p w14:paraId="792A8DB7">
      <w:pPr>
        <w:pStyle w:val="3"/>
        <w:rPr>
          <w:lang w:eastAsia="zh-CN"/>
        </w:rPr>
      </w:pPr>
    </w:p>
    <w:p w14:paraId="708B933F">
      <w:pPr>
        <w:pStyle w:val="3"/>
        <w:rPr>
          <w:lang w:eastAsia="zh-CN"/>
        </w:rPr>
      </w:pPr>
    </w:p>
    <w:p w14:paraId="359CDC23">
      <w:pPr>
        <w:pStyle w:val="3"/>
        <w:rPr>
          <w:lang w:eastAsia="zh-CN"/>
        </w:rPr>
      </w:pPr>
    </w:p>
    <w:p w14:paraId="5DB5F51E">
      <w:pPr>
        <w:pStyle w:val="3"/>
        <w:rPr>
          <w:lang w:eastAsia="zh-CN"/>
        </w:rPr>
      </w:pPr>
    </w:p>
    <w:p w14:paraId="288967E7">
      <w:pPr>
        <w:pStyle w:val="3"/>
        <w:rPr>
          <w:lang w:eastAsia="zh-CN"/>
        </w:rPr>
      </w:pPr>
    </w:p>
    <w:p w14:paraId="3A63C0E4">
      <w:pPr>
        <w:pStyle w:val="3"/>
        <w:rPr>
          <w:lang w:eastAsia="zh-CN"/>
        </w:rPr>
      </w:pPr>
    </w:p>
    <w:p w14:paraId="1FEBB89B">
      <w:pPr>
        <w:pStyle w:val="3"/>
        <w:rPr>
          <w:lang w:eastAsia="zh-CN"/>
        </w:rPr>
      </w:pPr>
    </w:p>
    <w:p w14:paraId="3115DA9E">
      <w:pPr>
        <w:pStyle w:val="3"/>
        <w:rPr>
          <w:lang w:eastAsia="zh-CN"/>
        </w:rPr>
      </w:pPr>
    </w:p>
    <w:p w14:paraId="2E709DBD">
      <w:pPr>
        <w:pStyle w:val="3"/>
        <w:rPr>
          <w:lang w:eastAsia="zh-CN"/>
        </w:rPr>
      </w:pPr>
    </w:p>
    <w:p w14:paraId="31603A4C">
      <w:pPr>
        <w:pStyle w:val="3"/>
        <w:rPr>
          <w:lang w:eastAsia="zh-CN"/>
        </w:rPr>
      </w:pPr>
    </w:p>
    <w:p w14:paraId="53A938E5">
      <w:pPr>
        <w:pStyle w:val="3"/>
        <w:rPr>
          <w:lang w:eastAsia="zh-CN"/>
        </w:rPr>
      </w:pPr>
    </w:p>
    <w:p w14:paraId="1DF88761">
      <w:pPr>
        <w:pStyle w:val="3"/>
        <w:rPr>
          <w:lang w:eastAsia="zh-CN"/>
        </w:rPr>
      </w:pPr>
    </w:p>
    <w:p w14:paraId="626E5413">
      <w:pPr>
        <w:pStyle w:val="3"/>
        <w:rPr>
          <w:lang w:eastAsia="zh-CN"/>
        </w:rPr>
      </w:pPr>
    </w:p>
    <w:p w14:paraId="3D9C53D0">
      <w:pPr>
        <w:pStyle w:val="3"/>
        <w:rPr>
          <w:lang w:eastAsia="zh-CN"/>
        </w:rPr>
      </w:pPr>
    </w:p>
    <w:p w14:paraId="31483685">
      <w:pPr>
        <w:pStyle w:val="3"/>
        <w:rPr>
          <w:lang w:eastAsia="zh-CN"/>
        </w:rPr>
      </w:pPr>
    </w:p>
    <w:p w14:paraId="3A604BA2">
      <w:pPr>
        <w:pStyle w:val="3"/>
        <w:rPr>
          <w:lang w:eastAsia="zh-CN"/>
        </w:rPr>
      </w:pPr>
    </w:p>
    <w:p w14:paraId="1B424BFD">
      <w:pPr>
        <w:pStyle w:val="3"/>
        <w:rPr>
          <w:lang w:eastAsia="zh-CN"/>
        </w:rPr>
      </w:pPr>
    </w:p>
    <w:p w14:paraId="5969DCFC">
      <w:pPr>
        <w:pStyle w:val="3"/>
        <w:rPr>
          <w:lang w:eastAsia="zh-CN"/>
        </w:rPr>
      </w:pPr>
    </w:p>
    <w:p w14:paraId="4D4F929A">
      <w:pPr>
        <w:pStyle w:val="3"/>
        <w:rPr>
          <w:lang w:eastAsia="zh-CN"/>
        </w:rPr>
      </w:pPr>
    </w:p>
    <w:p w14:paraId="00B7FCBC">
      <w:pPr>
        <w:pStyle w:val="3"/>
        <w:rPr>
          <w:lang w:eastAsia="zh-CN"/>
        </w:rPr>
      </w:pPr>
    </w:p>
    <w:p w14:paraId="2D676328">
      <w:pPr>
        <w:pStyle w:val="3"/>
      </w:pPr>
    </w:p>
    <w:p w14:paraId="7253CB79">
      <w:pPr>
        <w:pStyle w:val="3"/>
      </w:pPr>
    </w:p>
    <w:p w14:paraId="13B1D36A">
      <w:pPr>
        <w:pStyle w:val="3"/>
      </w:pPr>
    </w:p>
    <w:p w14:paraId="28083B56">
      <w:pPr>
        <w:pStyle w:val="24"/>
        <w:jc w:val="center"/>
        <w:rPr>
          <w:rFonts w:ascii="Helvetica Neue" w:hAnsi="Helvetica Neue" w:eastAsia="Helvetica Neue" w:cs="Helvetica Neue"/>
          <w:b/>
          <w:bCs/>
        </w:rPr>
      </w:pPr>
      <w:bookmarkStart w:id="90" w:name="_Toc89"/>
      <w:r>
        <w:rPr>
          <w:rFonts w:ascii="Helvetica Neue" w:hAnsi="Helvetica Neue"/>
          <w:b/>
          <w:bCs/>
          <w:lang w:val="en-US"/>
        </w:rPr>
        <w:t xml:space="preserve">ANNEXES </w:t>
      </w:r>
      <w:bookmarkEnd w:id="90"/>
    </w:p>
    <w:p w14:paraId="5ED92410">
      <w:pPr>
        <w:pStyle w:val="3"/>
      </w:pPr>
    </w:p>
    <w:p w14:paraId="0B86A2B4">
      <w:pPr>
        <w:pStyle w:val="24"/>
        <w:rPr>
          <w:rFonts w:ascii="Helvetica Neue" w:hAnsi="Helvetica Neue" w:eastAsia="Helvetica Neue" w:cs="Helvetica Neue"/>
          <w:b/>
          <w:bCs/>
        </w:rPr>
      </w:pPr>
      <w:bookmarkStart w:id="91" w:name="_Toc90"/>
      <w:r>
        <w:rPr>
          <w:rFonts w:ascii="Helvetica Neue" w:hAnsi="Helvetica Neue"/>
          <w:b/>
          <w:bCs/>
          <w:lang w:val="de-DE"/>
        </w:rPr>
        <w:t>ANNEXES A: PPP OPPORTUNITIES IN UNN</w:t>
      </w:r>
      <w:bookmarkEnd w:id="91"/>
    </w:p>
    <w:p w14:paraId="471C8884">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b/>
          <w:bCs/>
          <w:sz w:val="24"/>
          <w:szCs w:val="24"/>
        </w:rPr>
      </w:pPr>
    </w:p>
    <w:p w14:paraId="2CAE017A">
      <w:pPr>
        <w:pStyle w:val="3"/>
        <w:spacing w:line="360" w:lineRule="auto"/>
        <w:rPr>
          <w:sz w:val="24"/>
          <w:szCs w:val="24"/>
        </w:rPr>
      </w:pPr>
      <w:r>
        <w:rPr>
          <w:sz w:val="24"/>
          <w:szCs w:val="24"/>
          <w:lang w:val="en-US"/>
        </w:rPr>
        <w:t xml:space="preserve">Profile existing enterprises and sectors that would be most profitably managed through PPP and recommend same to the university management </w:t>
      </w:r>
    </w:p>
    <w:p w14:paraId="2A7B70C6">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5CA23265">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Helvetica Neue" w:hAnsi="Helvetica Neue" w:eastAsia="Helvetica Neue" w:cs="Helvetica Neue"/>
          <w:b/>
          <w:bCs/>
          <w:sz w:val="24"/>
          <w:szCs w:val="24"/>
        </w:rPr>
      </w:pPr>
      <w:r>
        <w:rPr>
          <w:rFonts w:ascii="Helvetica Neue" w:hAnsi="Helvetica Neue"/>
          <w:b/>
          <w:bCs/>
          <w:sz w:val="24"/>
          <w:szCs w:val="24"/>
          <w:lang w:val="en-US"/>
        </w:rPr>
        <w:t>HOUSING SECTOR</w:t>
      </w:r>
    </w:p>
    <w:p w14:paraId="55743E0F">
      <w:pPr>
        <w:pStyle w:val="4"/>
        <w:rPr>
          <w:b/>
          <w:bCs/>
        </w:rPr>
      </w:pPr>
      <w:bookmarkStart w:id="92" w:name="_Toc91"/>
      <w:r>
        <w:rPr>
          <w:rFonts w:ascii="Helvetica Neue Light" w:hAnsi="Helvetica Neue Light" w:eastAsia="Helvetica Neue Light" w:cs="Helvetica Neue Light"/>
        </w:rPr>
        <w:tab/>
      </w:r>
      <w:r>
        <w:rPr>
          <w:b/>
          <w:bCs/>
          <w:lang w:val="en-US"/>
        </w:rPr>
        <w:t xml:space="preserve">1. </w:t>
      </w:r>
      <w:r>
        <w:rPr>
          <w:b/>
          <w:bCs/>
          <w:sz w:val="26"/>
          <w:szCs w:val="26"/>
          <w:lang w:val="de-DE"/>
        </w:rPr>
        <w:t>Student Hostels</w:t>
      </w:r>
      <w:bookmarkEnd w:id="92"/>
    </w:p>
    <w:p w14:paraId="677D9878">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584F1752">
      <w:pPr>
        <w:pStyle w:val="3"/>
        <w:spacing w:line="360" w:lineRule="auto"/>
        <w:jc w:val="both"/>
        <w:rPr>
          <w:sz w:val="24"/>
          <w:szCs w:val="24"/>
        </w:rPr>
      </w:pPr>
      <w:r>
        <w:rPr>
          <w:sz w:val="24"/>
          <w:szCs w:val="24"/>
          <w:lang w:val="en-US"/>
        </w:rPr>
        <w:t>The following student hostels (four at Nsukka campus and two at Enugu Campus) are being recommended for PPP as pilot projects. The hostels are: (i) Zik</w:t>
      </w:r>
      <w:r>
        <w:rPr>
          <w:sz w:val="24"/>
          <w:szCs w:val="24"/>
          <w:rtl/>
        </w:rPr>
        <w:t>’</w:t>
      </w:r>
      <w:r>
        <w:rPr>
          <w:sz w:val="24"/>
          <w:szCs w:val="24"/>
          <w:lang w:val="it-IT"/>
        </w:rPr>
        <w:t>s Flats (ii) Alvan Ikoku (iii) Bello (iv) Okpara (v) Lady Ibiam (vi) Mbonu Ojike</w:t>
      </w:r>
    </w:p>
    <w:p w14:paraId="6D3E9BEC">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15F0A599">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r>
        <w:rPr>
          <w:rFonts w:ascii="Times New Roman" w:hAnsi="Times New Roman"/>
          <w:sz w:val="24"/>
          <w:szCs w:val="24"/>
          <w:lang w:val="fr-FR"/>
        </w:rPr>
        <w:t xml:space="preserve">Table 1 </w:t>
      </w:r>
      <w:r>
        <w:rPr>
          <w:rFonts w:ascii="Times New Roman" w:hAnsi="Times New Roman"/>
          <w:sz w:val="24"/>
          <w:szCs w:val="24"/>
        </w:rPr>
        <w:t>– Hostels at Nsukka Campus</w:t>
      </w:r>
    </w:p>
    <w:p w14:paraId="4C0D919C">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tbl>
      <w:tblPr>
        <w:tblStyle w:val="6"/>
        <w:tblW w:w="9360" w:type="dxa"/>
        <w:tblInd w:w="108" w:type="dxa"/>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Layout w:type="fixed"/>
        <w:tblCellMar>
          <w:top w:w="0" w:type="dxa"/>
          <w:left w:w="108" w:type="dxa"/>
          <w:bottom w:w="0" w:type="dxa"/>
          <w:right w:w="108" w:type="dxa"/>
        </w:tblCellMar>
      </w:tblPr>
      <w:tblGrid>
        <w:gridCol w:w="1308"/>
        <w:gridCol w:w="2405"/>
        <w:gridCol w:w="1543"/>
        <w:gridCol w:w="1543"/>
        <w:gridCol w:w="2561"/>
      </w:tblGrid>
      <w:tr w14:paraId="1323DAA8">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599" w:hRule="atLeast"/>
        </w:trPr>
        <w:tc>
          <w:tcPr>
            <w:tcW w:w="1308" w:type="dxa"/>
            <w:tcBorders>
              <w:top w:val="nil"/>
              <w:left w:val="nil"/>
              <w:bottom w:val="dotted" w:color="919191" w:sz="6" w:space="0"/>
              <w:right w:val="single" w:color="919191" w:sz="2" w:space="0"/>
            </w:tcBorders>
            <w:tcMar>
              <w:top w:w="54" w:type="dxa"/>
              <w:left w:w="54" w:type="dxa"/>
              <w:bottom w:w="54" w:type="dxa"/>
              <w:right w:w="54" w:type="dxa"/>
            </w:tcMar>
          </w:tcPr>
          <w:p w14:paraId="3F97DBE6">
            <w:pPr>
              <w:pStyle w:val="3"/>
              <w:spacing w:line="360" w:lineRule="auto"/>
            </w:pPr>
            <w:r>
              <w:rPr>
                <w:rFonts w:ascii="Helvetica Neue" w:hAnsi="Helvetica Neue"/>
                <w:b/>
                <w:bCs/>
              </w:rPr>
              <w:t>Hostel</w:t>
            </w:r>
          </w:p>
        </w:tc>
        <w:tc>
          <w:tcPr>
            <w:tcW w:w="2404" w:type="dxa"/>
            <w:tcBorders>
              <w:top w:val="nil"/>
              <w:left w:val="single" w:color="919191" w:sz="2" w:space="0"/>
              <w:bottom w:val="dotted" w:color="919191" w:sz="6" w:space="0"/>
              <w:right w:val="single" w:color="919191" w:sz="2" w:space="0"/>
            </w:tcBorders>
            <w:tcMar>
              <w:top w:w="54" w:type="dxa"/>
              <w:left w:w="54" w:type="dxa"/>
              <w:bottom w:w="54" w:type="dxa"/>
              <w:right w:w="54" w:type="dxa"/>
            </w:tcMar>
          </w:tcPr>
          <w:p w14:paraId="3FDBD24F">
            <w:pPr>
              <w:pStyle w:val="3"/>
              <w:spacing w:line="360" w:lineRule="auto"/>
            </w:pPr>
            <w:r>
              <w:rPr>
                <w:rFonts w:ascii="Helvetica Neue" w:hAnsi="Helvetica Neue"/>
                <w:b/>
                <w:bCs/>
              </w:rPr>
              <w:t>Existing Facilities</w:t>
            </w:r>
          </w:p>
        </w:tc>
        <w:tc>
          <w:tcPr>
            <w:tcW w:w="1543" w:type="dxa"/>
            <w:tcBorders>
              <w:top w:val="nil"/>
              <w:left w:val="single" w:color="919191" w:sz="2" w:space="0"/>
              <w:bottom w:val="dotted" w:color="919191" w:sz="6" w:space="0"/>
              <w:right w:val="single" w:color="919191" w:sz="2" w:space="0"/>
            </w:tcBorders>
            <w:tcMar>
              <w:top w:w="54" w:type="dxa"/>
              <w:left w:w="54" w:type="dxa"/>
              <w:bottom w:w="54" w:type="dxa"/>
              <w:right w:w="54" w:type="dxa"/>
            </w:tcMar>
          </w:tcPr>
          <w:p w14:paraId="6F1FECAD">
            <w:pPr>
              <w:pStyle w:val="3"/>
              <w:spacing w:line="360" w:lineRule="auto"/>
            </w:pPr>
            <w:r>
              <w:rPr>
                <w:rFonts w:ascii="Helvetica Neue" w:hAnsi="Helvetica Neue"/>
                <w:b/>
                <w:bCs/>
              </w:rPr>
              <w:t>Tentative  PPP Model</w:t>
            </w:r>
          </w:p>
        </w:tc>
        <w:tc>
          <w:tcPr>
            <w:tcW w:w="1543" w:type="dxa"/>
            <w:tcBorders>
              <w:top w:val="nil"/>
              <w:left w:val="single" w:color="919191" w:sz="2" w:space="0"/>
              <w:bottom w:val="dotted" w:color="919191" w:sz="6" w:space="0"/>
              <w:right w:val="single" w:color="919191" w:sz="2" w:space="0"/>
            </w:tcBorders>
            <w:tcMar>
              <w:top w:w="54" w:type="dxa"/>
              <w:left w:w="54" w:type="dxa"/>
              <w:bottom w:w="54" w:type="dxa"/>
              <w:right w:w="54" w:type="dxa"/>
            </w:tcMar>
          </w:tcPr>
          <w:p w14:paraId="36C789BB">
            <w:pPr>
              <w:pStyle w:val="3"/>
              <w:spacing w:line="360" w:lineRule="auto"/>
            </w:pPr>
            <w:r>
              <w:rPr>
                <w:rFonts w:ascii="Helvetica Neue" w:hAnsi="Helvetica Neue"/>
                <w:b/>
                <w:bCs/>
              </w:rPr>
              <w:t>Reason</w:t>
            </w:r>
          </w:p>
        </w:tc>
        <w:tc>
          <w:tcPr>
            <w:tcW w:w="2560" w:type="dxa"/>
            <w:tcBorders>
              <w:top w:val="nil"/>
              <w:left w:val="single" w:color="919191" w:sz="2" w:space="0"/>
              <w:bottom w:val="dotted" w:color="919191" w:sz="6" w:space="0"/>
              <w:right w:val="nil"/>
            </w:tcBorders>
            <w:tcMar>
              <w:top w:w="54" w:type="dxa"/>
              <w:left w:w="54" w:type="dxa"/>
              <w:bottom w:w="54" w:type="dxa"/>
              <w:right w:w="54" w:type="dxa"/>
            </w:tcMar>
          </w:tcPr>
          <w:p w14:paraId="1FFB9F88">
            <w:pPr>
              <w:pStyle w:val="3"/>
              <w:spacing w:line="360" w:lineRule="auto"/>
            </w:pPr>
            <w:r>
              <w:rPr>
                <w:rFonts w:ascii="Helvetica Neue" w:hAnsi="Helvetica Neue"/>
                <w:b/>
                <w:bCs/>
              </w:rPr>
              <w:t>Duties of Investor</w:t>
            </w:r>
          </w:p>
        </w:tc>
      </w:tr>
      <w:tr w14:paraId="7FC77B9D">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471" w:hRule="atLeast"/>
        </w:trPr>
        <w:tc>
          <w:tcPr>
            <w:tcW w:w="1308" w:type="dxa"/>
            <w:tcBorders>
              <w:top w:val="dotted" w:color="919191" w:sz="6" w:space="0"/>
              <w:left w:val="nil"/>
              <w:bottom w:val="dotted" w:color="919191" w:sz="6" w:space="0"/>
              <w:right w:val="single" w:color="919191" w:sz="2" w:space="0"/>
            </w:tcBorders>
            <w:shd w:val="clear" w:color="auto" w:fill="EEEEEE"/>
            <w:tcMar>
              <w:top w:w="54" w:type="dxa"/>
              <w:left w:w="54" w:type="dxa"/>
              <w:bottom w:w="54" w:type="dxa"/>
              <w:right w:w="54" w:type="dxa"/>
            </w:tcMar>
          </w:tcPr>
          <w:p w14:paraId="618825FD">
            <w:pPr>
              <w:pStyle w:val="3"/>
              <w:spacing w:line="360" w:lineRule="auto"/>
            </w:pPr>
            <w:r>
              <w:t>Zik’s Flats</w:t>
            </w:r>
          </w:p>
          <w:p w14:paraId="3F263546">
            <w:pPr>
              <w:pStyle w:val="3"/>
              <w:spacing w:line="360" w:lineRule="auto"/>
            </w:pPr>
            <w:r>
              <w:t>(Male and Female)</w:t>
            </w:r>
          </w:p>
        </w:tc>
        <w:tc>
          <w:tcPr>
            <w:tcW w:w="2404"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37D69A84">
            <w:pPr>
              <w:pStyle w:val="3"/>
              <w:spacing w:line="360" w:lineRule="auto"/>
            </w:pPr>
            <w:r>
              <w:t>Dilapidated buildings that are no longer in use for over 10 years and an environment overgrown with grasses</w:t>
            </w:r>
          </w:p>
        </w:tc>
        <w:tc>
          <w:tcPr>
            <w:tcW w:w="1543"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3EF29CDC">
            <w:pPr>
              <w:pStyle w:val="3"/>
              <w:spacing w:line="360" w:lineRule="auto"/>
            </w:pPr>
            <w:r>
              <w:t>BOT for 30 years</w:t>
            </w:r>
          </w:p>
        </w:tc>
        <w:tc>
          <w:tcPr>
            <w:tcW w:w="1543"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7C7874C4">
            <w:pPr>
              <w:pStyle w:val="3"/>
              <w:spacing w:line="360" w:lineRule="auto"/>
            </w:pPr>
            <w:r>
              <w:t>The existing facility is in a state of disrepair and the PPP investor will need to Build, Operate and Transfer a new hostel facility</w:t>
            </w:r>
          </w:p>
        </w:tc>
        <w:tc>
          <w:tcPr>
            <w:tcW w:w="2560"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54" w:type="dxa"/>
            </w:tcMar>
          </w:tcPr>
          <w:p w14:paraId="34248308">
            <w:pPr>
              <w:pStyle w:val="3"/>
              <w:spacing w:line="360" w:lineRule="auto"/>
            </w:pPr>
            <w:r>
              <w:t>-Provide hostel buildings with all the necessary facilities (water, electricity, sewage, refuse, etc).</w:t>
            </w:r>
          </w:p>
          <w:p w14:paraId="77C39F19">
            <w:pPr>
              <w:pStyle w:val="3"/>
              <w:spacing w:line="360" w:lineRule="auto"/>
            </w:pPr>
            <w:r>
              <w:t>-Operate and manage same for 30 years before transfer</w:t>
            </w:r>
          </w:p>
          <w:p w14:paraId="26BB7014">
            <w:pPr>
              <w:pStyle w:val="3"/>
              <w:spacing w:line="360" w:lineRule="auto"/>
            </w:pPr>
            <w:r>
              <w:t>- Make agreed contractual payments to the University</w:t>
            </w:r>
          </w:p>
        </w:tc>
      </w:tr>
      <w:tr w14:paraId="6EE83C3E">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4360" w:hRule="atLeast"/>
        </w:trPr>
        <w:tc>
          <w:tcPr>
            <w:tcW w:w="1308" w:type="dxa"/>
            <w:tcBorders>
              <w:top w:val="dotted" w:color="919191" w:sz="6" w:space="0"/>
              <w:left w:val="nil"/>
              <w:bottom w:val="dotted" w:color="919191" w:sz="6" w:space="0"/>
              <w:right w:val="single" w:color="919191" w:sz="2" w:space="0"/>
            </w:tcBorders>
            <w:tcMar>
              <w:top w:w="54" w:type="dxa"/>
              <w:left w:w="54" w:type="dxa"/>
              <w:bottom w:w="54" w:type="dxa"/>
              <w:right w:w="54" w:type="dxa"/>
            </w:tcMar>
          </w:tcPr>
          <w:p w14:paraId="22DE39C3">
            <w:pPr>
              <w:pStyle w:val="3"/>
              <w:spacing w:line="360" w:lineRule="auto"/>
            </w:pPr>
            <w:r>
              <w:t>Alvan Ikoku</w:t>
            </w:r>
          </w:p>
          <w:p w14:paraId="425AADC1">
            <w:pPr>
              <w:pStyle w:val="3"/>
              <w:spacing w:line="360" w:lineRule="auto"/>
            </w:pPr>
            <w:r>
              <w:t>(Male)</w:t>
            </w:r>
          </w:p>
        </w:tc>
        <w:tc>
          <w:tcPr>
            <w:tcW w:w="2404"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2BC89CA2">
            <w:pPr>
              <w:pStyle w:val="3"/>
              <w:spacing w:line="360" w:lineRule="auto"/>
            </w:pPr>
            <w:r>
              <w:t>-hostel building (167 rooms)</w:t>
            </w:r>
          </w:p>
          <w:p w14:paraId="4A2DAC52">
            <w:pPr>
              <w:pStyle w:val="3"/>
              <w:spacing w:line="360" w:lineRule="auto"/>
            </w:pPr>
            <w:r>
              <w:t>-borehole water supply</w:t>
            </w:r>
          </w:p>
          <w:p w14:paraId="5538ABD7">
            <w:pPr>
              <w:pStyle w:val="3"/>
              <w:spacing w:line="360" w:lineRule="auto"/>
            </w:pPr>
            <w:r>
              <w:t>-electricity</w:t>
            </w:r>
          </w:p>
          <w:p w14:paraId="7A254014">
            <w:pPr>
              <w:pStyle w:val="3"/>
              <w:spacing w:line="360" w:lineRule="auto"/>
            </w:pPr>
            <w:r>
              <w:t xml:space="preserve">-refuse disposal </w:t>
            </w:r>
          </w:p>
          <w:p w14:paraId="02182B77">
            <w:pPr>
              <w:pStyle w:val="3"/>
              <w:spacing w:line="360" w:lineRule="auto"/>
            </w:pPr>
            <w:r>
              <w:t xml:space="preserve">-central sewage </w:t>
            </w:r>
          </w:p>
          <w:p w14:paraId="744832CB">
            <w:pPr>
              <w:pStyle w:val="3"/>
              <w:spacing w:line="360" w:lineRule="auto"/>
            </w:pPr>
            <w:r>
              <w:t>-hostel management (Students Affairs, Hall Supervisor, Hall wardens)</w:t>
            </w:r>
          </w:p>
        </w:tc>
        <w:tc>
          <w:tcPr>
            <w:tcW w:w="1543"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10D1894B">
            <w:pPr>
              <w:pStyle w:val="3"/>
              <w:spacing w:line="360" w:lineRule="auto"/>
            </w:pPr>
            <w:r>
              <w:t>Management Contract for 5 years subject to renewal</w:t>
            </w:r>
          </w:p>
        </w:tc>
        <w:tc>
          <w:tcPr>
            <w:tcW w:w="1543"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518CA9BC">
            <w:pPr>
              <w:pStyle w:val="3"/>
              <w:spacing w:line="360" w:lineRule="auto"/>
            </w:pPr>
            <w:r>
              <w:t>To provide world-class service delivery and prompt maintenance of facilities</w:t>
            </w:r>
          </w:p>
        </w:tc>
        <w:tc>
          <w:tcPr>
            <w:tcW w:w="2560" w:type="dxa"/>
            <w:tcBorders>
              <w:top w:val="dotted" w:color="919191" w:sz="6" w:space="0"/>
              <w:left w:val="single" w:color="919191" w:sz="2" w:space="0"/>
              <w:bottom w:val="dotted" w:color="919191" w:sz="6" w:space="0"/>
              <w:right w:val="nil"/>
            </w:tcBorders>
            <w:tcMar>
              <w:top w:w="54" w:type="dxa"/>
              <w:left w:w="54" w:type="dxa"/>
              <w:bottom w:w="54" w:type="dxa"/>
              <w:right w:w="54" w:type="dxa"/>
            </w:tcMar>
          </w:tcPr>
          <w:p w14:paraId="1C586093">
            <w:pPr>
              <w:pStyle w:val="3"/>
              <w:spacing w:line="360" w:lineRule="auto"/>
            </w:pPr>
            <w:r>
              <w:t>-Management of bed spaces</w:t>
            </w:r>
          </w:p>
          <w:p w14:paraId="057DA1A0">
            <w:pPr>
              <w:pStyle w:val="3"/>
              <w:spacing w:line="360" w:lineRule="auto"/>
            </w:pPr>
            <w:r>
              <w:t>-Repair of facilities (electrical, plumbing, etc)</w:t>
            </w:r>
          </w:p>
          <w:p w14:paraId="3FAE2FC5">
            <w:pPr>
              <w:pStyle w:val="3"/>
              <w:spacing w:line="360" w:lineRule="auto"/>
            </w:pPr>
            <w:r>
              <w:t>-Sanitation (cleaning of rooms, common areas, conveniences, hostel environment, etc)</w:t>
            </w:r>
          </w:p>
          <w:p w14:paraId="186B7EB2">
            <w:pPr>
              <w:pStyle w:val="3"/>
              <w:spacing w:line="360" w:lineRule="auto"/>
            </w:pPr>
            <w:r>
              <w:t>-Renovation and repairs (WCs, floor tiles, painting, etc)</w:t>
            </w:r>
          </w:p>
        </w:tc>
      </w:tr>
      <w:tr w14:paraId="0C995F84">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4360" w:hRule="atLeast"/>
        </w:trPr>
        <w:tc>
          <w:tcPr>
            <w:tcW w:w="1308" w:type="dxa"/>
            <w:tcBorders>
              <w:top w:val="dotted" w:color="919191" w:sz="6" w:space="0"/>
              <w:left w:val="nil"/>
              <w:bottom w:val="dotted" w:color="919191" w:sz="6" w:space="0"/>
              <w:right w:val="single" w:color="919191" w:sz="2" w:space="0"/>
            </w:tcBorders>
            <w:shd w:val="clear" w:color="auto" w:fill="EEEEEE"/>
            <w:tcMar>
              <w:top w:w="54" w:type="dxa"/>
              <w:left w:w="54" w:type="dxa"/>
              <w:bottom w:w="54" w:type="dxa"/>
              <w:right w:w="54" w:type="dxa"/>
            </w:tcMar>
          </w:tcPr>
          <w:p w14:paraId="5E5BFE99">
            <w:pPr>
              <w:pStyle w:val="3"/>
              <w:spacing w:line="360" w:lineRule="auto"/>
            </w:pPr>
            <w:r>
              <w:t>Bello</w:t>
            </w:r>
          </w:p>
          <w:p w14:paraId="0A4318F7">
            <w:pPr>
              <w:pStyle w:val="3"/>
              <w:spacing w:line="360" w:lineRule="auto"/>
            </w:pPr>
            <w:r>
              <w:t>(Female)</w:t>
            </w:r>
          </w:p>
        </w:tc>
        <w:tc>
          <w:tcPr>
            <w:tcW w:w="2404"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4B2165FD">
            <w:pPr>
              <w:pStyle w:val="3"/>
              <w:spacing w:line="360" w:lineRule="auto"/>
            </w:pPr>
            <w:r>
              <w:t>-hostel building (91 rooms)</w:t>
            </w:r>
          </w:p>
          <w:p w14:paraId="5B5285D5">
            <w:pPr>
              <w:pStyle w:val="3"/>
              <w:spacing w:line="360" w:lineRule="auto"/>
            </w:pPr>
            <w:r>
              <w:t>-borehole water supply</w:t>
            </w:r>
          </w:p>
          <w:p w14:paraId="07E51DF0">
            <w:pPr>
              <w:pStyle w:val="3"/>
              <w:spacing w:line="360" w:lineRule="auto"/>
            </w:pPr>
            <w:r>
              <w:t>-electricity</w:t>
            </w:r>
          </w:p>
          <w:p w14:paraId="7BBA46B1">
            <w:pPr>
              <w:pStyle w:val="3"/>
              <w:spacing w:line="360" w:lineRule="auto"/>
            </w:pPr>
            <w:r>
              <w:t xml:space="preserve">-refuse disposal </w:t>
            </w:r>
          </w:p>
          <w:p w14:paraId="3436F195">
            <w:pPr>
              <w:pStyle w:val="3"/>
              <w:spacing w:line="360" w:lineRule="auto"/>
            </w:pPr>
            <w:r>
              <w:t xml:space="preserve">-central sewage </w:t>
            </w:r>
          </w:p>
          <w:p w14:paraId="3ADEAF94">
            <w:pPr>
              <w:pStyle w:val="3"/>
              <w:spacing w:line="360" w:lineRule="auto"/>
            </w:pPr>
            <w:r>
              <w:t>-hostel management (Students Affairs, Hall Supervisor, Hall wardens)</w:t>
            </w:r>
          </w:p>
        </w:tc>
        <w:tc>
          <w:tcPr>
            <w:tcW w:w="1543"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0C02A16D">
            <w:pPr>
              <w:pStyle w:val="3"/>
              <w:spacing w:line="360" w:lineRule="auto"/>
            </w:pPr>
            <w:r>
              <w:t>Management Contract for 5 years subject to renewal</w:t>
            </w:r>
          </w:p>
        </w:tc>
        <w:tc>
          <w:tcPr>
            <w:tcW w:w="1543"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5BF79236">
            <w:pPr>
              <w:pStyle w:val="3"/>
              <w:spacing w:line="360" w:lineRule="auto"/>
            </w:pPr>
            <w:r>
              <w:t>To provide world-class service delivery and prompt maintenance of facilities</w:t>
            </w:r>
          </w:p>
        </w:tc>
        <w:tc>
          <w:tcPr>
            <w:tcW w:w="2560"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54" w:type="dxa"/>
            </w:tcMar>
          </w:tcPr>
          <w:p w14:paraId="43B103A0">
            <w:pPr>
              <w:pStyle w:val="3"/>
              <w:spacing w:line="360" w:lineRule="auto"/>
            </w:pPr>
            <w:r>
              <w:t>-Management of bed spaces</w:t>
            </w:r>
          </w:p>
          <w:p w14:paraId="78E4DB13">
            <w:pPr>
              <w:pStyle w:val="3"/>
              <w:spacing w:line="360" w:lineRule="auto"/>
            </w:pPr>
            <w:r>
              <w:t>-Repair of facilities (electrical, plumbing, etc)</w:t>
            </w:r>
          </w:p>
          <w:p w14:paraId="7EB572D1">
            <w:pPr>
              <w:pStyle w:val="3"/>
              <w:spacing w:line="360" w:lineRule="auto"/>
            </w:pPr>
            <w:r>
              <w:t>-Sanitation (cleaning of rooms, common areas, conveniences, hostel environment, etc)</w:t>
            </w:r>
          </w:p>
          <w:p w14:paraId="1202B2FD">
            <w:pPr>
              <w:pStyle w:val="3"/>
              <w:spacing w:line="360" w:lineRule="auto"/>
            </w:pPr>
            <w:r>
              <w:t>-Renovation and repairs (WCs, floor tiles, painting, etc)</w:t>
            </w:r>
          </w:p>
        </w:tc>
      </w:tr>
      <w:tr w14:paraId="5EBBCB74">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4353" w:hRule="atLeast"/>
        </w:trPr>
        <w:tc>
          <w:tcPr>
            <w:tcW w:w="1308" w:type="dxa"/>
            <w:tcBorders>
              <w:top w:val="dotted" w:color="919191" w:sz="6" w:space="0"/>
              <w:left w:val="nil"/>
              <w:bottom w:val="nil"/>
              <w:right w:val="single" w:color="919191" w:sz="2" w:space="0"/>
            </w:tcBorders>
            <w:tcMar>
              <w:top w:w="54" w:type="dxa"/>
              <w:left w:w="54" w:type="dxa"/>
              <w:bottom w:w="54" w:type="dxa"/>
              <w:right w:w="54" w:type="dxa"/>
            </w:tcMar>
          </w:tcPr>
          <w:p w14:paraId="72F208FE">
            <w:pPr>
              <w:pStyle w:val="3"/>
              <w:spacing w:line="360" w:lineRule="auto"/>
            </w:pPr>
            <w:r>
              <w:t>Okpara</w:t>
            </w:r>
          </w:p>
          <w:p w14:paraId="4A4FE166">
            <w:pPr>
              <w:pStyle w:val="3"/>
              <w:spacing w:line="360" w:lineRule="auto"/>
            </w:pPr>
            <w:r>
              <w:t>(Female)</w:t>
            </w:r>
          </w:p>
        </w:tc>
        <w:tc>
          <w:tcPr>
            <w:tcW w:w="2404" w:type="dxa"/>
            <w:tcBorders>
              <w:top w:val="dotted" w:color="919191" w:sz="6" w:space="0"/>
              <w:left w:val="single" w:color="919191" w:sz="2" w:space="0"/>
              <w:bottom w:val="nil"/>
              <w:right w:val="single" w:color="919191" w:sz="2" w:space="0"/>
            </w:tcBorders>
            <w:tcMar>
              <w:top w:w="54" w:type="dxa"/>
              <w:left w:w="54" w:type="dxa"/>
              <w:bottom w:w="54" w:type="dxa"/>
              <w:right w:w="54" w:type="dxa"/>
            </w:tcMar>
          </w:tcPr>
          <w:p w14:paraId="7586D9E6">
            <w:pPr>
              <w:pStyle w:val="3"/>
              <w:spacing w:line="360" w:lineRule="auto"/>
            </w:pPr>
            <w:r>
              <w:t>-hostel building (91 rooms)</w:t>
            </w:r>
          </w:p>
          <w:p w14:paraId="51623035">
            <w:pPr>
              <w:pStyle w:val="3"/>
              <w:spacing w:line="360" w:lineRule="auto"/>
            </w:pPr>
            <w:r>
              <w:t>-borehole water supply</w:t>
            </w:r>
          </w:p>
          <w:p w14:paraId="3EE0516C">
            <w:pPr>
              <w:pStyle w:val="3"/>
              <w:spacing w:line="360" w:lineRule="auto"/>
            </w:pPr>
            <w:r>
              <w:t>-electricity</w:t>
            </w:r>
          </w:p>
          <w:p w14:paraId="3EA072DA">
            <w:pPr>
              <w:pStyle w:val="3"/>
              <w:spacing w:line="360" w:lineRule="auto"/>
            </w:pPr>
            <w:r>
              <w:t xml:space="preserve">-refuse disposal </w:t>
            </w:r>
          </w:p>
          <w:p w14:paraId="2C62EE23">
            <w:pPr>
              <w:pStyle w:val="3"/>
              <w:spacing w:line="360" w:lineRule="auto"/>
            </w:pPr>
            <w:r>
              <w:t xml:space="preserve">-central sewage </w:t>
            </w:r>
          </w:p>
          <w:p w14:paraId="6A567F7E">
            <w:pPr>
              <w:pStyle w:val="3"/>
              <w:spacing w:line="360" w:lineRule="auto"/>
            </w:pPr>
            <w:r>
              <w:t>-hostel management (Students Affairs, Hall Supervisor, Hall wardens)</w:t>
            </w:r>
          </w:p>
        </w:tc>
        <w:tc>
          <w:tcPr>
            <w:tcW w:w="1543" w:type="dxa"/>
            <w:tcBorders>
              <w:top w:val="dotted" w:color="919191" w:sz="6" w:space="0"/>
              <w:left w:val="single" w:color="919191" w:sz="2" w:space="0"/>
              <w:bottom w:val="nil"/>
              <w:right w:val="single" w:color="919191" w:sz="2" w:space="0"/>
            </w:tcBorders>
            <w:tcMar>
              <w:top w:w="54" w:type="dxa"/>
              <w:left w:w="54" w:type="dxa"/>
              <w:bottom w:w="54" w:type="dxa"/>
              <w:right w:w="54" w:type="dxa"/>
            </w:tcMar>
          </w:tcPr>
          <w:p w14:paraId="1365E941">
            <w:pPr>
              <w:pStyle w:val="3"/>
              <w:spacing w:line="360" w:lineRule="auto"/>
            </w:pPr>
            <w:r>
              <w:t>Management Contract for 5 years subject to renewal</w:t>
            </w:r>
          </w:p>
        </w:tc>
        <w:tc>
          <w:tcPr>
            <w:tcW w:w="1543" w:type="dxa"/>
            <w:tcBorders>
              <w:top w:val="dotted" w:color="919191" w:sz="6" w:space="0"/>
              <w:left w:val="single" w:color="919191" w:sz="2" w:space="0"/>
              <w:bottom w:val="nil"/>
              <w:right w:val="single" w:color="919191" w:sz="2" w:space="0"/>
            </w:tcBorders>
            <w:tcMar>
              <w:top w:w="54" w:type="dxa"/>
              <w:left w:w="54" w:type="dxa"/>
              <w:bottom w:w="54" w:type="dxa"/>
              <w:right w:w="54" w:type="dxa"/>
            </w:tcMar>
          </w:tcPr>
          <w:p w14:paraId="47B22C58">
            <w:pPr>
              <w:pStyle w:val="3"/>
              <w:spacing w:line="360" w:lineRule="auto"/>
            </w:pPr>
            <w:r>
              <w:t>To provide world-class service delivery and prompt maintenance of facilities</w:t>
            </w:r>
          </w:p>
        </w:tc>
        <w:tc>
          <w:tcPr>
            <w:tcW w:w="2560" w:type="dxa"/>
            <w:tcBorders>
              <w:top w:val="dotted" w:color="919191" w:sz="6" w:space="0"/>
              <w:left w:val="single" w:color="919191" w:sz="2" w:space="0"/>
              <w:bottom w:val="nil"/>
              <w:right w:val="nil"/>
            </w:tcBorders>
            <w:tcMar>
              <w:top w:w="54" w:type="dxa"/>
              <w:left w:w="54" w:type="dxa"/>
              <w:bottom w:w="54" w:type="dxa"/>
              <w:right w:w="54" w:type="dxa"/>
            </w:tcMar>
          </w:tcPr>
          <w:p w14:paraId="195BFB9F">
            <w:pPr>
              <w:pStyle w:val="3"/>
              <w:spacing w:line="360" w:lineRule="auto"/>
            </w:pPr>
            <w:r>
              <w:t>-Management of bed spaces</w:t>
            </w:r>
          </w:p>
          <w:p w14:paraId="78D0B975">
            <w:pPr>
              <w:pStyle w:val="3"/>
              <w:spacing w:line="360" w:lineRule="auto"/>
            </w:pPr>
            <w:r>
              <w:t>-Repair of facilities (electrical, plumbing, etc)</w:t>
            </w:r>
          </w:p>
          <w:p w14:paraId="7A67AE45">
            <w:pPr>
              <w:pStyle w:val="3"/>
              <w:spacing w:line="360" w:lineRule="auto"/>
            </w:pPr>
            <w:r>
              <w:t>-Sanitation (cleaning of rooms, common areas, conveniences, hostel environment, etc)</w:t>
            </w:r>
          </w:p>
          <w:p w14:paraId="76957524">
            <w:pPr>
              <w:pStyle w:val="3"/>
              <w:spacing w:line="360" w:lineRule="auto"/>
            </w:pPr>
            <w:r>
              <w:t>-Renovation and repairs (WCs, floor tiles, painting, etc)</w:t>
            </w:r>
          </w:p>
        </w:tc>
      </w:tr>
    </w:tbl>
    <w:p w14:paraId="65791833">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71A24E6A">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7AA73C4E">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7CC169A7">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22FF2C79">
      <w:pPr>
        <w:pStyle w:val="2"/>
        <w:rPr>
          <w:color w:val="000000"/>
          <w:sz w:val="24"/>
          <w:szCs w:val="24"/>
        </w:rPr>
      </w:pPr>
      <w:bookmarkStart w:id="93" w:name="_Toc92"/>
      <w:r>
        <w:rPr>
          <w:color w:val="000000"/>
          <w:sz w:val="24"/>
          <w:szCs w:val="24"/>
          <w:lang w:val="de-DE"/>
        </w:rPr>
        <w:t>Table 2: Hostels in Enugu Campus</w:t>
      </w:r>
      <w:bookmarkEnd w:id="93"/>
    </w:p>
    <w:p w14:paraId="3259DABA">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tbl>
      <w:tblPr>
        <w:tblStyle w:val="6"/>
        <w:tblW w:w="9359" w:type="dxa"/>
        <w:tblInd w:w="108" w:type="dxa"/>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Layout w:type="fixed"/>
        <w:tblCellMar>
          <w:top w:w="0" w:type="dxa"/>
          <w:left w:w="108" w:type="dxa"/>
          <w:bottom w:w="0" w:type="dxa"/>
          <w:right w:w="108" w:type="dxa"/>
        </w:tblCellMar>
      </w:tblPr>
      <w:tblGrid>
        <w:gridCol w:w="1347"/>
        <w:gridCol w:w="2385"/>
        <w:gridCol w:w="1562"/>
        <w:gridCol w:w="1641"/>
        <w:gridCol w:w="2424"/>
      </w:tblGrid>
      <w:tr w14:paraId="717ABF3C">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529" w:hRule="atLeast"/>
        </w:trPr>
        <w:tc>
          <w:tcPr>
            <w:tcW w:w="1347" w:type="dxa"/>
            <w:tcBorders>
              <w:top w:val="nil"/>
              <w:left w:val="nil"/>
              <w:bottom w:val="dotted" w:color="919191" w:sz="6" w:space="0"/>
              <w:right w:val="single" w:color="919191" w:sz="2" w:space="0"/>
            </w:tcBorders>
            <w:tcMar>
              <w:top w:w="54" w:type="dxa"/>
              <w:left w:w="54" w:type="dxa"/>
              <w:bottom w:w="54" w:type="dxa"/>
              <w:right w:w="54" w:type="dxa"/>
            </w:tcMar>
          </w:tcPr>
          <w:p w14:paraId="3C28D0F6">
            <w:pPr>
              <w:pStyle w:val="3"/>
            </w:pPr>
            <w:r>
              <w:rPr>
                <w:rFonts w:ascii="Helvetica Neue" w:hAnsi="Helvetica Neue"/>
                <w:b/>
                <w:bCs/>
              </w:rPr>
              <w:t>Hostel</w:t>
            </w:r>
          </w:p>
        </w:tc>
        <w:tc>
          <w:tcPr>
            <w:tcW w:w="2384" w:type="dxa"/>
            <w:tcBorders>
              <w:top w:val="nil"/>
              <w:left w:val="single" w:color="919191" w:sz="2" w:space="0"/>
              <w:bottom w:val="dotted" w:color="919191" w:sz="6" w:space="0"/>
              <w:right w:val="single" w:color="919191" w:sz="2" w:space="0"/>
            </w:tcBorders>
            <w:tcMar>
              <w:top w:w="54" w:type="dxa"/>
              <w:left w:w="54" w:type="dxa"/>
              <w:bottom w:w="54" w:type="dxa"/>
              <w:right w:w="54" w:type="dxa"/>
            </w:tcMar>
          </w:tcPr>
          <w:p w14:paraId="04E53A79">
            <w:pPr>
              <w:pStyle w:val="3"/>
            </w:pPr>
            <w:r>
              <w:rPr>
                <w:rFonts w:ascii="Helvetica Neue" w:hAnsi="Helvetica Neue"/>
                <w:b/>
                <w:bCs/>
              </w:rPr>
              <w:t>Existing Facilities</w:t>
            </w:r>
          </w:p>
        </w:tc>
        <w:tc>
          <w:tcPr>
            <w:tcW w:w="1562" w:type="dxa"/>
            <w:tcBorders>
              <w:top w:val="nil"/>
              <w:left w:val="single" w:color="919191" w:sz="2" w:space="0"/>
              <w:bottom w:val="dotted" w:color="919191" w:sz="6" w:space="0"/>
              <w:right w:val="single" w:color="919191" w:sz="2" w:space="0"/>
            </w:tcBorders>
            <w:tcMar>
              <w:top w:w="54" w:type="dxa"/>
              <w:left w:w="54" w:type="dxa"/>
              <w:bottom w:w="54" w:type="dxa"/>
              <w:right w:w="54" w:type="dxa"/>
            </w:tcMar>
          </w:tcPr>
          <w:p w14:paraId="6900E3E9">
            <w:pPr>
              <w:pStyle w:val="3"/>
            </w:pPr>
            <w:r>
              <w:rPr>
                <w:rFonts w:ascii="Helvetica Neue" w:hAnsi="Helvetica Neue"/>
                <w:b/>
                <w:bCs/>
              </w:rPr>
              <w:t>Tentative PPP Model</w:t>
            </w:r>
          </w:p>
        </w:tc>
        <w:tc>
          <w:tcPr>
            <w:tcW w:w="1641" w:type="dxa"/>
            <w:tcBorders>
              <w:top w:val="nil"/>
              <w:left w:val="single" w:color="919191" w:sz="2" w:space="0"/>
              <w:bottom w:val="dotted" w:color="919191" w:sz="6" w:space="0"/>
              <w:right w:val="single" w:color="919191" w:sz="2" w:space="0"/>
            </w:tcBorders>
            <w:tcMar>
              <w:top w:w="54" w:type="dxa"/>
              <w:left w:w="54" w:type="dxa"/>
              <w:bottom w:w="54" w:type="dxa"/>
              <w:right w:w="54" w:type="dxa"/>
            </w:tcMar>
          </w:tcPr>
          <w:p w14:paraId="62344513">
            <w:pPr>
              <w:pStyle w:val="3"/>
            </w:pPr>
            <w:r>
              <w:rPr>
                <w:rFonts w:ascii="Helvetica Neue" w:hAnsi="Helvetica Neue"/>
                <w:b/>
                <w:bCs/>
              </w:rPr>
              <w:t>Reason</w:t>
            </w:r>
          </w:p>
        </w:tc>
        <w:tc>
          <w:tcPr>
            <w:tcW w:w="2423" w:type="dxa"/>
            <w:tcBorders>
              <w:top w:val="nil"/>
              <w:left w:val="single" w:color="919191" w:sz="2" w:space="0"/>
              <w:bottom w:val="dotted" w:color="919191" w:sz="6" w:space="0"/>
              <w:right w:val="nil"/>
            </w:tcBorders>
            <w:tcMar>
              <w:top w:w="54" w:type="dxa"/>
              <w:left w:w="54" w:type="dxa"/>
              <w:bottom w:w="54" w:type="dxa"/>
              <w:right w:w="54" w:type="dxa"/>
            </w:tcMar>
          </w:tcPr>
          <w:p w14:paraId="0A4AC52B">
            <w:pPr>
              <w:pStyle w:val="3"/>
            </w:pPr>
            <w:r>
              <w:rPr>
                <w:rFonts w:ascii="Helvetica Neue" w:hAnsi="Helvetica Neue"/>
                <w:b/>
                <w:bCs/>
              </w:rPr>
              <w:t>Duties of Investor</w:t>
            </w:r>
          </w:p>
        </w:tc>
      </w:tr>
      <w:tr w14:paraId="42BB1BC6">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4443" w:hRule="atLeast"/>
        </w:trPr>
        <w:tc>
          <w:tcPr>
            <w:tcW w:w="1347" w:type="dxa"/>
            <w:tcBorders>
              <w:top w:val="dotted" w:color="919191" w:sz="6" w:space="0"/>
              <w:left w:val="nil"/>
              <w:bottom w:val="dotted" w:color="919191" w:sz="6" w:space="0"/>
              <w:right w:val="single" w:color="919191" w:sz="2" w:space="0"/>
            </w:tcBorders>
            <w:shd w:val="clear" w:color="auto" w:fill="EEEEEE"/>
            <w:tcMar>
              <w:top w:w="54" w:type="dxa"/>
              <w:left w:w="54" w:type="dxa"/>
              <w:bottom w:w="54" w:type="dxa"/>
              <w:right w:w="54" w:type="dxa"/>
            </w:tcMar>
          </w:tcPr>
          <w:p w14:paraId="0D075EFB">
            <w:pPr>
              <w:pStyle w:val="3"/>
            </w:pPr>
            <w:r>
              <w:rPr>
                <w:rFonts w:eastAsia="Arial Unicode MS" w:cs="Arial Unicode MS"/>
              </w:rPr>
              <w:t>Lady Ibiam</w:t>
            </w:r>
          </w:p>
          <w:p w14:paraId="6ED37229">
            <w:pPr>
              <w:pStyle w:val="3"/>
            </w:pPr>
            <w:r>
              <w:rPr>
                <w:rFonts w:eastAsia="Arial Unicode MS" w:cs="Arial Unicode MS"/>
              </w:rPr>
              <w:t>(Female)</w:t>
            </w:r>
          </w:p>
        </w:tc>
        <w:tc>
          <w:tcPr>
            <w:tcW w:w="2384"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40CF8AD4">
            <w:pPr>
              <w:pStyle w:val="3"/>
            </w:pPr>
            <w:r>
              <w:rPr>
                <w:rFonts w:eastAsia="Arial Unicode MS" w:cs="Arial Unicode MS"/>
              </w:rPr>
              <w:t>-hostel building (215 rooms)</w:t>
            </w:r>
          </w:p>
          <w:p w14:paraId="750DAB1F">
            <w:pPr>
              <w:pStyle w:val="3"/>
            </w:pPr>
            <w:r>
              <w:rPr>
                <w:rFonts w:eastAsia="Arial Unicode MS" w:cs="Arial Unicode MS"/>
              </w:rPr>
              <w:t>-independent water supply (private water vendors)</w:t>
            </w:r>
          </w:p>
          <w:p w14:paraId="286AC8BD">
            <w:pPr>
              <w:pStyle w:val="3"/>
            </w:pPr>
            <w:r>
              <w:rPr>
                <w:rFonts w:eastAsia="Arial Unicode MS" w:cs="Arial Unicode MS"/>
              </w:rPr>
              <w:t>-electricity</w:t>
            </w:r>
          </w:p>
          <w:p w14:paraId="23A3B388">
            <w:pPr>
              <w:pStyle w:val="3"/>
            </w:pPr>
            <w:r>
              <w:rPr>
                <w:rFonts w:eastAsia="Arial Unicode MS" w:cs="Arial Unicode MS"/>
              </w:rPr>
              <w:t xml:space="preserve">-refuse disposal </w:t>
            </w:r>
          </w:p>
          <w:p w14:paraId="5A2B3D13">
            <w:pPr>
              <w:pStyle w:val="3"/>
            </w:pPr>
            <w:r>
              <w:rPr>
                <w:rFonts w:eastAsia="Arial Unicode MS" w:cs="Arial Unicode MS"/>
              </w:rPr>
              <w:t xml:space="preserve">-independent sewage disposal (soakaway) </w:t>
            </w:r>
          </w:p>
          <w:p w14:paraId="47D2E57B">
            <w:pPr>
              <w:pStyle w:val="3"/>
            </w:pPr>
            <w:r>
              <w:rPr>
                <w:rFonts w:eastAsia="Arial Unicode MS" w:cs="Arial Unicode MS"/>
              </w:rPr>
              <w:t>-hostel management (Students Affairs, Hall Supervisor, Hall wardens)</w:t>
            </w:r>
          </w:p>
        </w:tc>
        <w:tc>
          <w:tcPr>
            <w:tcW w:w="1562"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00BA88E3">
            <w:pPr>
              <w:pStyle w:val="3"/>
            </w:pPr>
            <w:r>
              <w:rPr>
                <w:rFonts w:eastAsia="Arial Unicode MS" w:cs="Arial Unicode MS"/>
              </w:rPr>
              <w:t>Management Contract for 5 years subject to renewal</w:t>
            </w:r>
          </w:p>
        </w:tc>
        <w:tc>
          <w:tcPr>
            <w:tcW w:w="1641"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0F2220D8">
            <w:pPr>
              <w:pStyle w:val="3"/>
            </w:pPr>
            <w:r>
              <w:rPr>
                <w:rFonts w:eastAsia="Arial Unicode MS" w:cs="Arial Unicode MS"/>
              </w:rPr>
              <w:t>To provide world-class service delivery and prompt maintenance of facilities</w:t>
            </w:r>
          </w:p>
        </w:tc>
        <w:tc>
          <w:tcPr>
            <w:tcW w:w="2423"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54" w:type="dxa"/>
            </w:tcMar>
          </w:tcPr>
          <w:p w14:paraId="2B52B0AC">
            <w:pPr>
              <w:pStyle w:val="3"/>
            </w:pPr>
            <w:r>
              <w:rPr>
                <w:rFonts w:eastAsia="Arial Unicode MS" w:cs="Arial Unicode MS"/>
              </w:rPr>
              <w:t>-Management of bed spaces</w:t>
            </w:r>
          </w:p>
          <w:p w14:paraId="1E50904A">
            <w:pPr>
              <w:pStyle w:val="3"/>
            </w:pPr>
            <w:r>
              <w:rPr>
                <w:rFonts w:eastAsia="Arial Unicode MS" w:cs="Arial Unicode MS"/>
              </w:rPr>
              <w:t>-provision of water</w:t>
            </w:r>
          </w:p>
          <w:p w14:paraId="13BC21E4">
            <w:pPr>
              <w:pStyle w:val="3"/>
            </w:pPr>
            <w:r>
              <w:rPr>
                <w:rFonts w:eastAsia="Arial Unicode MS" w:cs="Arial Unicode MS"/>
              </w:rPr>
              <w:t>-Repair of facilities (electrical, plumbing, etc)</w:t>
            </w:r>
          </w:p>
          <w:p w14:paraId="336CF019">
            <w:pPr>
              <w:pStyle w:val="3"/>
            </w:pPr>
            <w:r>
              <w:rPr>
                <w:rFonts w:eastAsia="Arial Unicode MS" w:cs="Arial Unicode MS"/>
              </w:rPr>
              <w:t>-Sanitation (cleaning of rooms, common areas, conveniences, hostel environment, etc)</w:t>
            </w:r>
          </w:p>
          <w:p w14:paraId="7543BD1E">
            <w:pPr>
              <w:pStyle w:val="3"/>
            </w:pPr>
            <w:r>
              <w:rPr>
                <w:rFonts w:eastAsia="Arial Unicode MS" w:cs="Arial Unicode MS"/>
              </w:rPr>
              <w:t>-Renovation and repairs (WCs, floor tiles, painting, etc)</w:t>
            </w:r>
          </w:p>
        </w:tc>
      </w:tr>
      <w:tr w14:paraId="161334D3">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4670" w:hRule="atLeast"/>
        </w:trPr>
        <w:tc>
          <w:tcPr>
            <w:tcW w:w="1347" w:type="dxa"/>
            <w:tcBorders>
              <w:top w:val="dotted" w:color="919191" w:sz="6" w:space="0"/>
              <w:left w:val="nil"/>
              <w:bottom w:val="nil"/>
              <w:right w:val="single" w:color="919191" w:sz="2" w:space="0"/>
            </w:tcBorders>
            <w:tcMar>
              <w:top w:w="54" w:type="dxa"/>
              <w:left w:w="54" w:type="dxa"/>
              <w:bottom w:w="54" w:type="dxa"/>
              <w:right w:w="54" w:type="dxa"/>
            </w:tcMar>
          </w:tcPr>
          <w:p w14:paraId="1F25645B">
            <w:pPr>
              <w:pStyle w:val="3"/>
            </w:pPr>
            <w:r>
              <w:rPr>
                <w:rFonts w:eastAsia="Arial Unicode MS" w:cs="Arial Unicode MS"/>
              </w:rPr>
              <w:t>Mbonu Ojike</w:t>
            </w:r>
          </w:p>
          <w:p w14:paraId="7887C056">
            <w:pPr>
              <w:pStyle w:val="3"/>
            </w:pPr>
            <w:r>
              <w:rPr>
                <w:rFonts w:eastAsia="Arial Unicode MS" w:cs="Arial Unicode MS"/>
              </w:rPr>
              <w:t>(Male)</w:t>
            </w:r>
          </w:p>
        </w:tc>
        <w:tc>
          <w:tcPr>
            <w:tcW w:w="2384" w:type="dxa"/>
            <w:tcBorders>
              <w:top w:val="dotted" w:color="919191" w:sz="6" w:space="0"/>
              <w:left w:val="single" w:color="919191" w:sz="2" w:space="0"/>
              <w:bottom w:val="nil"/>
              <w:right w:val="single" w:color="919191" w:sz="2" w:space="0"/>
            </w:tcBorders>
            <w:tcMar>
              <w:top w:w="54" w:type="dxa"/>
              <w:left w:w="54" w:type="dxa"/>
              <w:bottom w:w="54" w:type="dxa"/>
              <w:right w:w="54" w:type="dxa"/>
            </w:tcMar>
          </w:tcPr>
          <w:p w14:paraId="0AEA95D0">
            <w:pPr>
              <w:pStyle w:val="3"/>
            </w:pPr>
            <w:r>
              <w:rPr>
                <w:rFonts w:eastAsia="Arial Unicode MS" w:cs="Arial Unicode MS"/>
              </w:rPr>
              <w:t>-hostel building (171 rooms)</w:t>
            </w:r>
          </w:p>
          <w:p w14:paraId="6481F5B2">
            <w:pPr>
              <w:pStyle w:val="3"/>
            </w:pPr>
            <w:r>
              <w:rPr>
                <w:rFonts w:eastAsia="Arial Unicode MS" w:cs="Arial Unicode MS"/>
              </w:rPr>
              <w:t>-independent water supply (private water vendors)</w:t>
            </w:r>
          </w:p>
          <w:p w14:paraId="68BBA326">
            <w:pPr>
              <w:pStyle w:val="3"/>
            </w:pPr>
            <w:r>
              <w:rPr>
                <w:rFonts w:eastAsia="Arial Unicode MS" w:cs="Arial Unicode MS"/>
              </w:rPr>
              <w:t>-electricity</w:t>
            </w:r>
          </w:p>
          <w:p w14:paraId="016EE1D1">
            <w:pPr>
              <w:pStyle w:val="3"/>
            </w:pPr>
            <w:r>
              <w:rPr>
                <w:rFonts w:eastAsia="Arial Unicode MS" w:cs="Arial Unicode MS"/>
              </w:rPr>
              <w:t xml:space="preserve">-refuse disposal </w:t>
            </w:r>
          </w:p>
          <w:p w14:paraId="15D9CFD1">
            <w:pPr>
              <w:pStyle w:val="3"/>
            </w:pPr>
            <w:r>
              <w:rPr>
                <w:rFonts w:eastAsia="Arial Unicode MS" w:cs="Arial Unicode MS"/>
              </w:rPr>
              <w:t xml:space="preserve">-independent sewage disposal (soakaway) </w:t>
            </w:r>
          </w:p>
          <w:p w14:paraId="600643F1">
            <w:pPr>
              <w:pStyle w:val="3"/>
            </w:pPr>
            <w:r>
              <w:rPr>
                <w:rFonts w:eastAsia="Arial Unicode MS" w:cs="Arial Unicode MS"/>
              </w:rPr>
              <w:t>-hostel management (Students Affairs, Hall Supervisor, Hall wardens)</w:t>
            </w:r>
          </w:p>
        </w:tc>
        <w:tc>
          <w:tcPr>
            <w:tcW w:w="1562" w:type="dxa"/>
            <w:tcBorders>
              <w:top w:val="dotted" w:color="919191" w:sz="6" w:space="0"/>
              <w:left w:val="single" w:color="919191" w:sz="2" w:space="0"/>
              <w:bottom w:val="nil"/>
              <w:right w:val="single" w:color="919191" w:sz="2" w:space="0"/>
            </w:tcBorders>
            <w:tcMar>
              <w:top w:w="54" w:type="dxa"/>
              <w:left w:w="54" w:type="dxa"/>
              <w:bottom w:w="54" w:type="dxa"/>
              <w:right w:w="54" w:type="dxa"/>
            </w:tcMar>
          </w:tcPr>
          <w:p w14:paraId="6B6950AC">
            <w:pPr>
              <w:pStyle w:val="3"/>
            </w:pPr>
            <w:r>
              <w:rPr>
                <w:rFonts w:eastAsia="Arial Unicode MS" w:cs="Arial Unicode MS"/>
              </w:rPr>
              <w:t>Management Contract for 5 years subject to renewal</w:t>
            </w:r>
          </w:p>
        </w:tc>
        <w:tc>
          <w:tcPr>
            <w:tcW w:w="1641" w:type="dxa"/>
            <w:tcBorders>
              <w:top w:val="dotted" w:color="919191" w:sz="6" w:space="0"/>
              <w:left w:val="single" w:color="919191" w:sz="2" w:space="0"/>
              <w:bottom w:val="nil"/>
              <w:right w:val="single" w:color="919191" w:sz="2" w:space="0"/>
            </w:tcBorders>
            <w:tcMar>
              <w:top w:w="54" w:type="dxa"/>
              <w:left w:w="54" w:type="dxa"/>
              <w:bottom w:w="54" w:type="dxa"/>
              <w:right w:w="54" w:type="dxa"/>
            </w:tcMar>
          </w:tcPr>
          <w:p w14:paraId="4248D018">
            <w:pPr>
              <w:pStyle w:val="3"/>
            </w:pPr>
            <w:r>
              <w:rPr>
                <w:rFonts w:eastAsia="Arial Unicode MS" w:cs="Arial Unicode MS"/>
              </w:rPr>
              <w:t>To provide world-class service delivery and prompt maintenance of facilities</w:t>
            </w:r>
          </w:p>
        </w:tc>
        <w:tc>
          <w:tcPr>
            <w:tcW w:w="2423" w:type="dxa"/>
            <w:tcBorders>
              <w:top w:val="dotted" w:color="919191" w:sz="6" w:space="0"/>
              <w:left w:val="single" w:color="919191" w:sz="2" w:space="0"/>
              <w:bottom w:val="nil"/>
              <w:right w:val="nil"/>
            </w:tcBorders>
            <w:tcMar>
              <w:top w:w="54" w:type="dxa"/>
              <w:left w:w="54" w:type="dxa"/>
              <w:bottom w:w="54" w:type="dxa"/>
              <w:right w:w="54" w:type="dxa"/>
            </w:tcMar>
          </w:tcPr>
          <w:p w14:paraId="7E63FB10">
            <w:pPr>
              <w:pStyle w:val="3"/>
            </w:pPr>
            <w:r>
              <w:rPr>
                <w:rFonts w:eastAsia="Arial Unicode MS" w:cs="Arial Unicode MS"/>
              </w:rPr>
              <w:t>-Management of bed spaces</w:t>
            </w:r>
          </w:p>
          <w:p w14:paraId="5CA3868D">
            <w:pPr>
              <w:pStyle w:val="3"/>
            </w:pPr>
            <w:r>
              <w:rPr>
                <w:rFonts w:eastAsia="Arial Unicode MS" w:cs="Arial Unicode MS"/>
              </w:rPr>
              <w:t>-provision of water</w:t>
            </w:r>
          </w:p>
          <w:p w14:paraId="086DC517">
            <w:pPr>
              <w:pStyle w:val="3"/>
            </w:pPr>
            <w:r>
              <w:rPr>
                <w:rFonts w:eastAsia="Arial Unicode MS" w:cs="Arial Unicode MS"/>
              </w:rPr>
              <w:t>-Repair of facilities (electrical, plumbing, etc)</w:t>
            </w:r>
          </w:p>
          <w:p w14:paraId="762EAC1D">
            <w:pPr>
              <w:pStyle w:val="3"/>
            </w:pPr>
            <w:r>
              <w:rPr>
                <w:rFonts w:eastAsia="Arial Unicode MS" w:cs="Arial Unicode MS"/>
              </w:rPr>
              <w:t>-Sanitation (cleaning of rooms, common areas, conveniences, hostel environment, etc)</w:t>
            </w:r>
          </w:p>
          <w:p w14:paraId="778DCD8B">
            <w:pPr>
              <w:pStyle w:val="3"/>
            </w:pPr>
            <w:r>
              <w:rPr>
                <w:rFonts w:eastAsia="Arial Unicode MS" w:cs="Arial Unicode MS"/>
              </w:rPr>
              <w:t>-Renovation and repairs (WCs, floor tiles, painting, etc)</w:t>
            </w:r>
          </w:p>
        </w:tc>
      </w:tr>
    </w:tbl>
    <w:p w14:paraId="79DE48B5">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5F984196">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6F18FEAA">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2CEEC488">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5EF66A26">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2E531E5B">
      <w:pPr>
        <w:pStyle w:val="2"/>
        <w:rPr>
          <w:color w:val="000000"/>
        </w:rPr>
      </w:pPr>
      <w:bookmarkStart w:id="94" w:name="_Toc93"/>
      <w:r>
        <w:rPr>
          <w:color w:val="000000"/>
          <w:lang w:val="en-US"/>
        </w:rPr>
        <w:t>1. Staff Accommodation</w:t>
      </w:r>
      <w:bookmarkEnd w:id="94"/>
    </w:p>
    <w:p w14:paraId="45C047C6">
      <w:pPr>
        <w:pStyle w:val="3"/>
        <w:rPr>
          <w:sz w:val="24"/>
          <w:szCs w:val="24"/>
        </w:rPr>
      </w:pPr>
      <w:r>
        <w:rPr>
          <w:sz w:val="24"/>
          <w:szCs w:val="24"/>
          <w:lang w:val="en-US"/>
        </w:rPr>
        <w:t>Staff accommodation is grossly inadequate, and there is an urgent need for more housing facilities for university staff.</w:t>
      </w:r>
    </w:p>
    <w:p w14:paraId="7C8E520A">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7AEE4509">
      <w:pPr>
        <w:pStyle w:val="2"/>
        <w:rPr>
          <w:color w:val="000000"/>
        </w:rPr>
      </w:pPr>
      <w:bookmarkStart w:id="95" w:name="_Toc94"/>
      <w:r>
        <w:rPr>
          <w:color w:val="000000"/>
          <w:lang w:val="fr-FR"/>
        </w:rPr>
        <w:t xml:space="preserve">Table 3 </w:t>
      </w:r>
      <w:r>
        <w:rPr>
          <w:color w:val="000000"/>
        </w:rPr>
        <w:t xml:space="preserve">– </w:t>
      </w:r>
      <w:r>
        <w:rPr>
          <w:color w:val="000000"/>
          <w:lang w:val="en-US"/>
        </w:rPr>
        <w:t>Staff Housing at Nsukka Campus</w:t>
      </w:r>
      <w:bookmarkEnd w:id="95"/>
    </w:p>
    <w:p w14:paraId="21DB70C5">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tbl>
      <w:tblPr>
        <w:tblStyle w:val="6"/>
        <w:tblW w:w="9360" w:type="dxa"/>
        <w:tblInd w:w="108" w:type="dxa"/>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Layout w:type="fixed"/>
        <w:tblCellMar>
          <w:top w:w="0" w:type="dxa"/>
          <w:left w:w="108" w:type="dxa"/>
          <w:bottom w:w="0" w:type="dxa"/>
          <w:right w:w="108" w:type="dxa"/>
        </w:tblCellMar>
      </w:tblPr>
      <w:tblGrid>
        <w:gridCol w:w="1208"/>
        <w:gridCol w:w="2321"/>
        <w:gridCol w:w="1110"/>
        <w:gridCol w:w="2712"/>
        <w:gridCol w:w="2009"/>
      </w:tblGrid>
      <w:tr w14:paraId="28D50DF2">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815" w:hRule="atLeast"/>
        </w:trPr>
        <w:tc>
          <w:tcPr>
            <w:tcW w:w="1208" w:type="dxa"/>
            <w:tcBorders>
              <w:top w:val="nil"/>
              <w:left w:val="nil"/>
              <w:bottom w:val="dotted" w:color="919191" w:sz="6" w:space="0"/>
              <w:right w:val="single" w:color="919191" w:sz="2" w:space="0"/>
            </w:tcBorders>
            <w:tcMar>
              <w:top w:w="54" w:type="dxa"/>
              <w:left w:w="54" w:type="dxa"/>
              <w:bottom w:w="54" w:type="dxa"/>
              <w:right w:w="54" w:type="dxa"/>
            </w:tcMar>
          </w:tcPr>
          <w:p w14:paraId="7A81EAD6">
            <w:pPr>
              <w:pStyle w:val="3"/>
            </w:pPr>
            <w:r>
              <w:rPr>
                <w:rFonts w:ascii="Helvetica Neue" w:hAnsi="Helvetica Neue"/>
                <w:b/>
                <w:bCs/>
              </w:rPr>
              <w:t>Category</w:t>
            </w:r>
          </w:p>
        </w:tc>
        <w:tc>
          <w:tcPr>
            <w:tcW w:w="2320" w:type="dxa"/>
            <w:tcBorders>
              <w:top w:val="nil"/>
              <w:left w:val="single" w:color="919191" w:sz="2" w:space="0"/>
              <w:bottom w:val="dotted" w:color="919191" w:sz="6" w:space="0"/>
              <w:right w:val="single" w:color="919191" w:sz="2" w:space="0"/>
            </w:tcBorders>
            <w:tcMar>
              <w:top w:w="54" w:type="dxa"/>
              <w:left w:w="54" w:type="dxa"/>
              <w:bottom w:w="54" w:type="dxa"/>
              <w:right w:w="54" w:type="dxa"/>
            </w:tcMar>
          </w:tcPr>
          <w:p w14:paraId="651B1990">
            <w:pPr>
              <w:pStyle w:val="3"/>
            </w:pPr>
            <w:r>
              <w:rPr>
                <w:rFonts w:ascii="Helvetica Neue" w:hAnsi="Helvetica Neue"/>
                <w:b/>
                <w:bCs/>
              </w:rPr>
              <w:t>Existing Facilities</w:t>
            </w:r>
          </w:p>
        </w:tc>
        <w:tc>
          <w:tcPr>
            <w:tcW w:w="1110" w:type="dxa"/>
            <w:tcBorders>
              <w:top w:val="nil"/>
              <w:left w:val="single" w:color="919191" w:sz="2" w:space="0"/>
              <w:bottom w:val="dotted" w:color="919191" w:sz="6" w:space="0"/>
              <w:right w:val="single" w:color="919191" w:sz="2" w:space="0"/>
            </w:tcBorders>
            <w:tcMar>
              <w:top w:w="54" w:type="dxa"/>
              <w:left w:w="54" w:type="dxa"/>
              <w:bottom w:w="54" w:type="dxa"/>
              <w:right w:w="54" w:type="dxa"/>
            </w:tcMar>
          </w:tcPr>
          <w:p w14:paraId="5BB092E3">
            <w:pPr>
              <w:pStyle w:val="3"/>
            </w:pPr>
            <w:r>
              <w:rPr>
                <w:rFonts w:ascii="Helvetica Neue" w:hAnsi="Helvetica Neue"/>
                <w:b/>
                <w:bCs/>
              </w:rPr>
              <w:t>Tentative  PPP Model</w:t>
            </w:r>
          </w:p>
        </w:tc>
        <w:tc>
          <w:tcPr>
            <w:tcW w:w="2711" w:type="dxa"/>
            <w:tcBorders>
              <w:top w:val="nil"/>
              <w:left w:val="single" w:color="919191" w:sz="2" w:space="0"/>
              <w:bottom w:val="dotted" w:color="919191" w:sz="6" w:space="0"/>
              <w:right w:val="single" w:color="919191" w:sz="2" w:space="0"/>
            </w:tcBorders>
            <w:tcMar>
              <w:top w:w="54" w:type="dxa"/>
              <w:left w:w="54" w:type="dxa"/>
              <w:bottom w:w="54" w:type="dxa"/>
              <w:right w:w="54" w:type="dxa"/>
            </w:tcMar>
          </w:tcPr>
          <w:p w14:paraId="1FFFE5AF">
            <w:pPr>
              <w:pStyle w:val="3"/>
            </w:pPr>
            <w:r>
              <w:rPr>
                <w:rFonts w:ascii="Helvetica Neue" w:hAnsi="Helvetica Neue"/>
                <w:b/>
                <w:bCs/>
              </w:rPr>
              <w:t>Reason</w:t>
            </w:r>
          </w:p>
        </w:tc>
        <w:tc>
          <w:tcPr>
            <w:tcW w:w="2008" w:type="dxa"/>
            <w:tcBorders>
              <w:top w:val="nil"/>
              <w:left w:val="single" w:color="919191" w:sz="2" w:space="0"/>
              <w:bottom w:val="dotted" w:color="919191" w:sz="6" w:space="0"/>
              <w:right w:val="nil"/>
            </w:tcBorders>
            <w:tcMar>
              <w:top w:w="54" w:type="dxa"/>
              <w:left w:w="54" w:type="dxa"/>
              <w:bottom w:w="54" w:type="dxa"/>
              <w:right w:w="54" w:type="dxa"/>
            </w:tcMar>
          </w:tcPr>
          <w:p w14:paraId="371B2E89">
            <w:pPr>
              <w:pStyle w:val="3"/>
            </w:pPr>
            <w:r>
              <w:rPr>
                <w:rFonts w:ascii="Helvetica Neue" w:hAnsi="Helvetica Neue"/>
                <w:b/>
                <w:bCs/>
              </w:rPr>
              <w:t>Duties of Investor</w:t>
            </w:r>
          </w:p>
        </w:tc>
      </w:tr>
      <w:tr w14:paraId="392D37C4">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5598" w:hRule="atLeast"/>
        </w:trPr>
        <w:tc>
          <w:tcPr>
            <w:tcW w:w="1208" w:type="dxa"/>
            <w:tcBorders>
              <w:top w:val="dotted" w:color="919191" w:sz="6" w:space="0"/>
              <w:left w:val="nil"/>
              <w:bottom w:val="dotted" w:color="919191" w:sz="6" w:space="0"/>
              <w:right w:val="single" w:color="919191" w:sz="2" w:space="0"/>
            </w:tcBorders>
            <w:shd w:val="clear" w:color="auto" w:fill="EEEEEE"/>
            <w:tcMar>
              <w:top w:w="54" w:type="dxa"/>
              <w:left w:w="54" w:type="dxa"/>
              <w:bottom w:w="54" w:type="dxa"/>
              <w:right w:w="54" w:type="dxa"/>
            </w:tcMar>
          </w:tcPr>
          <w:p w14:paraId="1084BE08">
            <w:pPr>
              <w:pStyle w:val="3"/>
            </w:pPr>
            <w:r>
              <w:rPr>
                <w:rFonts w:eastAsia="Arial Unicode MS" w:cs="Arial Unicode MS"/>
              </w:rPr>
              <w:t>Senior Staff Housing</w:t>
            </w:r>
          </w:p>
          <w:p w14:paraId="4F7AE676">
            <w:pPr>
              <w:pStyle w:val="3"/>
            </w:pPr>
            <w:r>
              <w:rPr>
                <w:rFonts w:eastAsia="Arial Unicode MS" w:cs="Arial Unicode MS"/>
              </w:rPr>
              <w:t>(524 units)</w:t>
            </w:r>
          </w:p>
        </w:tc>
        <w:tc>
          <w:tcPr>
            <w:tcW w:w="2320"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38E8277E">
            <w:pPr>
              <w:pStyle w:val="3"/>
            </w:pPr>
            <w:r>
              <w:rPr>
                <w:rFonts w:eastAsia="Arial Unicode MS" w:cs="Arial Unicode MS"/>
              </w:rPr>
              <w:t>-24 Duplexes</w:t>
            </w:r>
          </w:p>
          <w:p w14:paraId="3D3FD275">
            <w:pPr>
              <w:pStyle w:val="3"/>
            </w:pPr>
            <w:r>
              <w:rPr>
                <w:rFonts w:eastAsia="Arial Unicode MS" w:cs="Arial Unicode MS"/>
              </w:rPr>
              <w:t>-127 Three-bedroom + Study</w:t>
            </w:r>
          </w:p>
          <w:p w14:paraId="5479A97F">
            <w:pPr>
              <w:pStyle w:val="3"/>
            </w:pPr>
            <w:r>
              <w:rPr>
                <w:rFonts w:eastAsia="Arial Unicode MS" w:cs="Arial Unicode MS"/>
              </w:rPr>
              <w:t>-87 Three-bedroom Large</w:t>
            </w:r>
          </w:p>
          <w:p w14:paraId="5A68428E">
            <w:pPr>
              <w:pStyle w:val="3"/>
            </w:pPr>
            <w:r>
              <w:rPr>
                <w:rFonts w:eastAsia="Arial Unicode MS" w:cs="Arial Unicode MS"/>
              </w:rPr>
              <w:t xml:space="preserve">-61 Three-bedroom Small </w:t>
            </w:r>
          </w:p>
          <w:p w14:paraId="6CCE1E1F">
            <w:pPr>
              <w:pStyle w:val="3"/>
            </w:pPr>
            <w:r>
              <w:rPr>
                <w:rFonts w:eastAsia="Arial Unicode MS" w:cs="Arial Unicode MS"/>
              </w:rPr>
              <w:t xml:space="preserve">-29 Two-bedroom + Study </w:t>
            </w:r>
          </w:p>
          <w:p w14:paraId="3A66719D">
            <w:pPr>
              <w:pStyle w:val="3"/>
            </w:pPr>
            <w:r>
              <w:rPr>
                <w:rFonts w:eastAsia="Arial Unicode MS" w:cs="Arial Unicode MS"/>
              </w:rPr>
              <w:t>-16 Two-bedroom Large</w:t>
            </w:r>
          </w:p>
          <w:p w14:paraId="07217286">
            <w:pPr>
              <w:pStyle w:val="3"/>
            </w:pPr>
            <w:r>
              <w:rPr>
                <w:rFonts w:eastAsia="Arial Unicode MS" w:cs="Arial Unicode MS"/>
              </w:rPr>
              <w:t>-6 Two-bedroom Small</w:t>
            </w:r>
          </w:p>
          <w:p w14:paraId="29333408">
            <w:pPr>
              <w:pStyle w:val="3"/>
            </w:pPr>
            <w:r>
              <w:rPr>
                <w:rFonts w:eastAsia="Arial Unicode MS" w:cs="Arial Unicode MS"/>
              </w:rPr>
              <w:t>-102 Three-bedroom Flat</w:t>
            </w:r>
          </w:p>
          <w:p w14:paraId="2C5FD6F9">
            <w:pPr>
              <w:pStyle w:val="3"/>
            </w:pPr>
            <w:r>
              <w:rPr>
                <w:rFonts w:eastAsia="Arial Unicode MS" w:cs="Arial Unicode MS"/>
              </w:rPr>
              <w:t>- 67 Two-bedroom Flat</w:t>
            </w:r>
          </w:p>
          <w:p w14:paraId="73C6CD8B">
            <w:pPr>
              <w:pStyle w:val="3"/>
            </w:pPr>
            <w:r>
              <w:rPr>
                <w:rFonts w:eastAsia="Arial Unicode MS" w:cs="Arial Unicode MS"/>
              </w:rPr>
              <w:t>- 5 Ibeziako Quarters</w:t>
            </w:r>
          </w:p>
        </w:tc>
        <w:tc>
          <w:tcPr>
            <w:tcW w:w="1110"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2CC84B74">
            <w:pPr>
              <w:pStyle w:val="3"/>
            </w:pPr>
            <w:r>
              <w:rPr>
                <w:rFonts w:eastAsia="Arial Unicode MS" w:cs="Arial Unicode MS"/>
              </w:rPr>
              <w:t>BOT for 30 years</w:t>
            </w:r>
          </w:p>
        </w:tc>
        <w:tc>
          <w:tcPr>
            <w:tcW w:w="2711"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1B0361A8">
            <w:pPr>
              <w:pStyle w:val="3"/>
            </w:pPr>
            <w:r>
              <w:rPr>
                <w:rFonts w:eastAsia="Arial Unicode MS" w:cs="Arial Unicode MS"/>
              </w:rPr>
              <w:t>The existing accommodation is grossly inadequate for the ever-increasing senior staff population and the PPP investor will need to Build, Operate and Transfer new housing units for senior staff</w:t>
            </w:r>
          </w:p>
        </w:tc>
        <w:tc>
          <w:tcPr>
            <w:tcW w:w="2008"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54" w:type="dxa"/>
            </w:tcMar>
          </w:tcPr>
          <w:p w14:paraId="6BC62C91">
            <w:pPr>
              <w:pStyle w:val="3"/>
            </w:pPr>
            <w:r>
              <w:rPr>
                <w:rFonts w:eastAsia="Arial Unicode MS" w:cs="Arial Unicode MS"/>
              </w:rPr>
              <w:t>-Provide different categories of housing with all the necessary facilities (water, electricity, sewage, refuse, etc).</w:t>
            </w:r>
          </w:p>
          <w:p w14:paraId="2CA89BE8">
            <w:pPr>
              <w:pStyle w:val="3"/>
            </w:pPr>
            <w:r>
              <w:rPr>
                <w:rFonts w:eastAsia="Arial Unicode MS" w:cs="Arial Unicode MS"/>
              </w:rPr>
              <w:t>-Operate and manage same for 30 years before transfer</w:t>
            </w:r>
          </w:p>
          <w:p w14:paraId="5B71D60A">
            <w:pPr>
              <w:pStyle w:val="3"/>
            </w:pPr>
            <w:r>
              <w:rPr>
                <w:rFonts w:eastAsia="Arial Unicode MS" w:cs="Arial Unicode MS"/>
              </w:rPr>
              <w:t>- Make agreed contractual payments to the University</w:t>
            </w:r>
          </w:p>
        </w:tc>
      </w:tr>
      <w:tr w14:paraId="0BB4A01E">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757" w:hRule="atLeast"/>
        </w:trPr>
        <w:tc>
          <w:tcPr>
            <w:tcW w:w="1208" w:type="dxa"/>
            <w:tcBorders>
              <w:top w:val="dotted" w:color="919191" w:sz="6" w:space="0"/>
              <w:left w:val="nil"/>
              <w:bottom w:val="nil"/>
              <w:right w:val="single" w:color="919191" w:sz="2" w:space="0"/>
            </w:tcBorders>
            <w:tcMar>
              <w:top w:w="54" w:type="dxa"/>
              <w:left w:w="54" w:type="dxa"/>
              <w:bottom w:w="54" w:type="dxa"/>
              <w:right w:w="54" w:type="dxa"/>
            </w:tcMar>
          </w:tcPr>
          <w:p w14:paraId="16C136E4">
            <w:pPr>
              <w:pStyle w:val="3"/>
            </w:pPr>
            <w:r>
              <w:rPr>
                <w:rFonts w:eastAsia="Arial Unicode MS" w:cs="Arial Unicode MS"/>
              </w:rPr>
              <w:t>Junior Staff Housing</w:t>
            </w:r>
          </w:p>
          <w:p w14:paraId="0D6396C2">
            <w:pPr>
              <w:pStyle w:val="3"/>
            </w:pPr>
            <w:r>
              <w:rPr>
                <w:rFonts w:eastAsia="Arial Unicode MS" w:cs="Arial Unicode MS"/>
              </w:rPr>
              <w:t>(82 units)</w:t>
            </w:r>
          </w:p>
        </w:tc>
        <w:tc>
          <w:tcPr>
            <w:tcW w:w="2320" w:type="dxa"/>
            <w:tcBorders>
              <w:top w:val="dotted" w:color="919191" w:sz="6" w:space="0"/>
              <w:left w:val="single" w:color="919191" w:sz="2" w:space="0"/>
              <w:bottom w:val="nil"/>
              <w:right w:val="single" w:color="919191" w:sz="2" w:space="0"/>
            </w:tcBorders>
            <w:tcMar>
              <w:top w:w="54" w:type="dxa"/>
              <w:left w:w="54" w:type="dxa"/>
              <w:bottom w:w="54" w:type="dxa"/>
              <w:right w:w="54" w:type="dxa"/>
            </w:tcMar>
          </w:tcPr>
          <w:p w14:paraId="409B405B">
            <w:pPr>
              <w:pStyle w:val="3"/>
            </w:pPr>
            <w:r>
              <w:rPr>
                <w:rFonts w:eastAsia="Arial Unicode MS" w:cs="Arial Unicode MS"/>
              </w:rPr>
              <w:t>-62 Two-bedroom bungalow</w:t>
            </w:r>
          </w:p>
          <w:p w14:paraId="1F00BF86">
            <w:pPr>
              <w:pStyle w:val="3"/>
            </w:pPr>
            <w:r>
              <w:rPr>
                <w:rFonts w:eastAsia="Arial Unicode MS" w:cs="Arial Unicode MS"/>
              </w:rPr>
              <w:t>-20 units in Nigeria Police Post</w:t>
            </w:r>
          </w:p>
        </w:tc>
        <w:tc>
          <w:tcPr>
            <w:tcW w:w="1110" w:type="dxa"/>
            <w:tcBorders>
              <w:top w:val="dotted" w:color="919191" w:sz="6" w:space="0"/>
              <w:left w:val="single" w:color="919191" w:sz="2" w:space="0"/>
              <w:bottom w:val="nil"/>
              <w:right w:val="single" w:color="919191" w:sz="2" w:space="0"/>
            </w:tcBorders>
            <w:tcMar>
              <w:top w:w="54" w:type="dxa"/>
              <w:left w:w="54" w:type="dxa"/>
              <w:bottom w:w="54" w:type="dxa"/>
              <w:right w:w="54" w:type="dxa"/>
            </w:tcMar>
          </w:tcPr>
          <w:p w14:paraId="7AC030B2">
            <w:pPr>
              <w:pStyle w:val="3"/>
            </w:pPr>
            <w:r>
              <w:rPr>
                <w:rFonts w:eastAsia="Arial Unicode MS" w:cs="Arial Unicode MS"/>
              </w:rPr>
              <w:t>BOT for 30 years</w:t>
            </w:r>
          </w:p>
        </w:tc>
        <w:tc>
          <w:tcPr>
            <w:tcW w:w="2711" w:type="dxa"/>
            <w:tcBorders>
              <w:top w:val="dotted" w:color="919191" w:sz="6" w:space="0"/>
              <w:left w:val="single" w:color="919191" w:sz="2" w:space="0"/>
              <w:bottom w:val="nil"/>
              <w:right w:val="single" w:color="919191" w:sz="2" w:space="0"/>
            </w:tcBorders>
            <w:tcMar>
              <w:top w:w="54" w:type="dxa"/>
              <w:left w:w="54" w:type="dxa"/>
              <w:bottom w:w="54" w:type="dxa"/>
              <w:right w:w="54" w:type="dxa"/>
            </w:tcMar>
          </w:tcPr>
          <w:p w14:paraId="3A1925A2">
            <w:pPr>
              <w:pStyle w:val="3"/>
            </w:pPr>
            <w:r>
              <w:rPr>
                <w:rFonts w:eastAsia="Arial Unicode MS" w:cs="Arial Unicode MS"/>
              </w:rPr>
              <w:t>The existing accommodation is grossly inadequate for the ever-increasing junior staff population and the PPP investor will need to Build, Operate and Transfer new housing units for junior staff</w:t>
            </w:r>
          </w:p>
        </w:tc>
        <w:tc>
          <w:tcPr>
            <w:tcW w:w="2008" w:type="dxa"/>
            <w:tcBorders>
              <w:top w:val="dotted" w:color="919191" w:sz="6" w:space="0"/>
              <w:left w:val="single" w:color="919191" w:sz="2" w:space="0"/>
              <w:bottom w:val="nil"/>
              <w:right w:val="nil"/>
            </w:tcBorders>
            <w:tcMar>
              <w:top w:w="54" w:type="dxa"/>
              <w:left w:w="54" w:type="dxa"/>
              <w:bottom w:w="54" w:type="dxa"/>
              <w:right w:w="54" w:type="dxa"/>
            </w:tcMar>
          </w:tcPr>
          <w:p w14:paraId="71C59330">
            <w:pPr>
              <w:pStyle w:val="3"/>
            </w:pPr>
            <w:r>
              <w:rPr>
                <w:rFonts w:eastAsia="Arial Unicode MS" w:cs="Arial Unicode MS"/>
              </w:rPr>
              <w:t>-Provide different categories of housing with all the necessary facilities (water, electricity, sewage, refuse, etc).</w:t>
            </w:r>
          </w:p>
          <w:p w14:paraId="43AC8263">
            <w:pPr>
              <w:pStyle w:val="3"/>
            </w:pPr>
            <w:r>
              <w:rPr>
                <w:rFonts w:eastAsia="Arial Unicode MS" w:cs="Arial Unicode MS"/>
              </w:rPr>
              <w:t>-Operate and manage same for 30 years before transfer</w:t>
            </w:r>
          </w:p>
          <w:p w14:paraId="4C12E3A9">
            <w:pPr>
              <w:pStyle w:val="3"/>
            </w:pPr>
            <w:r>
              <w:rPr>
                <w:rFonts w:eastAsia="Arial Unicode MS" w:cs="Arial Unicode MS"/>
              </w:rPr>
              <w:t>- Make agreed contractual payments to the University</w:t>
            </w:r>
          </w:p>
        </w:tc>
      </w:tr>
    </w:tbl>
    <w:p w14:paraId="2B6F4A95">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678D0BFF">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2912159F">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35D44263">
      <w:pPr>
        <w:pStyle w:val="2"/>
        <w:rPr>
          <w:color w:val="000000"/>
          <w:sz w:val="24"/>
          <w:szCs w:val="24"/>
        </w:rPr>
      </w:pPr>
      <w:bookmarkStart w:id="96" w:name="_Toc95"/>
      <w:r>
        <w:rPr>
          <w:color w:val="000000"/>
          <w:sz w:val="24"/>
          <w:szCs w:val="24"/>
          <w:lang w:val="en-US"/>
        </w:rPr>
        <w:t>Table 4: Staff Housing in Enugu Campus</w:t>
      </w:r>
      <w:bookmarkEnd w:id="96"/>
    </w:p>
    <w:p w14:paraId="2B03B0B3">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tbl>
      <w:tblPr>
        <w:tblStyle w:val="6"/>
        <w:tblW w:w="9570" w:type="dxa"/>
        <w:tblInd w:w="108" w:type="dxa"/>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Layout w:type="fixed"/>
        <w:tblCellMar>
          <w:top w:w="0" w:type="dxa"/>
          <w:left w:w="108" w:type="dxa"/>
          <w:bottom w:w="0" w:type="dxa"/>
          <w:right w:w="108" w:type="dxa"/>
        </w:tblCellMar>
      </w:tblPr>
      <w:tblGrid>
        <w:gridCol w:w="1378"/>
        <w:gridCol w:w="2438"/>
        <w:gridCol w:w="1178"/>
        <w:gridCol w:w="2378"/>
        <w:gridCol w:w="2198"/>
      </w:tblGrid>
      <w:tr w14:paraId="74A10B92">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529" w:hRule="atLeast"/>
        </w:trPr>
        <w:tc>
          <w:tcPr>
            <w:tcW w:w="1378" w:type="dxa"/>
            <w:tcBorders>
              <w:top w:val="nil"/>
              <w:left w:val="nil"/>
              <w:bottom w:val="dotted" w:color="919191" w:sz="6" w:space="0"/>
              <w:right w:val="single" w:color="919191" w:sz="2" w:space="0"/>
            </w:tcBorders>
            <w:tcMar>
              <w:top w:w="54" w:type="dxa"/>
              <w:left w:w="54" w:type="dxa"/>
              <w:bottom w:w="54" w:type="dxa"/>
              <w:right w:w="54" w:type="dxa"/>
            </w:tcMar>
          </w:tcPr>
          <w:p w14:paraId="479E899C">
            <w:pPr>
              <w:pStyle w:val="3"/>
            </w:pPr>
            <w:r>
              <w:rPr>
                <w:rFonts w:ascii="Helvetica Neue" w:hAnsi="Helvetica Neue"/>
                <w:b/>
                <w:bCs/>
              </w:rPr>
              <w:t>Category</w:t>
            </w:r>
          </w:p>
        </w:tc>
        <w:tc>
          <w:tcPr>
            <w:tcW w:w="2438" w:type="dxa"/>
            <w:tcBorders>
              <w:top w:val="nil"/>
              <w:left w:val="single" w:color="919191" w:sz="2" w:space="0"/>
              <w:bottom w:val="dotted" w:color="919191" w:sz="6" w:space="0"/>
              <w:right w:val="single" w:color="919191" w:sz="2" w:space="0"/>
            </w:tcBorders>
            <w:tcMar>
              <w:top w:w="54" w:type="dxa"/>
              <w:left w:w="54" w:type="dxa"/>
              <w:bottom w:w="54" w:type="dxa"/>
              <w:right w:w="54" w:type="dxa"/>
            </w:tcMar>
          </w:tcPr>
          <w:p w14:paraId="2812038F">
            <w:pPr>
              <w:pStyle w:val="3"/>
            </w:pPr>
            <w:r>
              <w:rPr>
                <w:rFonts w:ascii="Helvetica Neue" w:hAnsi="Helvetica Neue"/>
                <w:b/>
                <w:bCs/>
              </w:rPr>
              <w:t>Existing Facilities</w:t>
            </w:r>
          </w:p>
        </w:tc>
        <w:tc>
          <w:tcPr>
            <w:tcW w:w="1178" w:type="dxa"/>
            <w:tcBorders>
              <w:top w:val="nil"/>
              <w:left w:val="single" w:color="919191" w:sz="2" w:space="0"/>
              <w:bottom w:val="dotted" w:color="919191" w:sz="6" w:space="0"/>
              <w:right w:val="single" w:color="919191" w:sz="2" w:space="0"/>
            </w:tcBorders>
            <w:tcMar>
              <w:top w:w="54" w:type="dxa"/>
              <w:left w:w="54" w:type="dxa"/>
              <w:bottom w:w="54" w:type="dxa"/>
              <w:right w:w="54" w:type="dxa"/>
            </w:tcMar>
          </w:tcPr>
          <w:p w14:paraId="561F4F47">
            <w:pPr>
              <w:pStyle w:val="3"/>
            </w:pPr>
            <w:r>
              <w:rPr>
                <w:rFonts w:ascii="Helvetica Neue" w:hAnsi="Helvetica Neue"/>
                <w:b/>
                <w:bCs/>
              </w:rPr>
              <w:t>Tentative PPP Model</w:t>
            </w:r>
          </w:p>
        </w:tc>
        <w:tc>
          <w:tcPr>
            <w:tcW w:w="2378" w:type="dxa"/>
            <w:tcBorders>
              <w:top w:val="nil"/>
              <w:left w:val="single" w:color="919191" w:sz="2" w:space="0"/>
              <w:bottom w:val="dotted" w:color="919191" w:sz="6" w:space="0"/>
              <w:right w:val="single" w:color="919191" w:sz="2" w:space="0"/>
            </w:tcBorders>
            <w:tcMar>
              <w:top w:w="54" w:type="dxa"/>
              <w:left w:w="54" w:type="dxa"/>
              <w:bottom w:w="54" w:type="dxa"/>
              <w:right w:w="54" w:type="dxa"/>
            </w:tcMar>
          </w:tcPr>
          <w:p w14:paraId="0A3137D4">
            <w:pPr>
              <w:pStyle w:val="3"/>
            </w:pPr>
            <w:r>
              <w:rPr>
                <w:rFonts w:ascii="Helvetica Neue" w:hAnsi="Helvetica Neue"/>
                <w:b/>
                <w:bCs/>
              </w:rPr>
              <w:t>Reason</w:t>
            </w:r>
          </w:p>
        </w:tc>
        <w:tc>
          <w:tcPr>
            <w:tcW w:w="2198" w:type="dxa"/>
            <w:tcBorders>
              <w:top w:val="nil"/>
              <w:left w:val="single" w:color="919191" w:sz="2" w:space="0"/>
              <w:bottom w:val="dotted" w:color="919191" w:sz="6" w:space="0"/>
              <w:right w:val="nil"/>
            </w:tcBorders>
            <w:tcMar>
              <w:top w:w="54" w:type="dxa"/>
              <w:left w:w="54" w:type="dxa"/>
              <w:bottom w:w="54" w:type="dxa"/>
              <w:right w:w="54" w:type="dxa"/>
            </w:tcMar>
          </w:tcPr>
          <w:p w14:paraId="1D377C1C">
            <w:pPr>
              <w:pStyle w:val="3"/>
            </w:pPr>
            <w:r>
              <w:rPr>
                <w:rFonts w:ascii="Helvetica Neue" w:hAnsi="Helvetica Neue"/>
                <w:b/>
                <w:bCs/>
              </w:rPr>
              <w:t>Duties of Investor</w:t>
            </w:r>
          </w:p>
        </w:tc>
      </w:tr>
      <w:tr w14:paraId="2213BF02">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764" w:hRule="atLeast"/>
        </w:trPr>
        <w:tc>
          <w:tcPr>
            <w:tcW w:w="1378" w:type="dxa"/>
            <w:tcBorders>
              <w:top w:val="dotted" w:color="919191" w:sz="6" w:space="0"/>
              <w:left w:val="nil"/>
              <w:bottom w:val="dotted" w:color="919191" w:sz="6" w:space="0"/>
              <w:right w:val="single" w:color="919191" w:sz="2" w:space="0"/>
            </w:tcBorders>
            <w:shd w:val="clear" w:color="auto" w:fill="EEEEEE"/>
            <w:tcMar>
              <w:top w:w="54" w:type="dxa"/>
              <w:left w:w="54" w:type="dxa"/>
              <w:bottom w:w="54" w:type="dxa"/>
              <w:right w:w="54" w:type="dxa"/>
            </w:tcMar>
          </w:tcPr>
          <w:p w14:paraId="6145D23A">
            <w:pPr>
              <w:pStyle w:val="3"/>
            </w:pPr>
            <w:r>
              <w:rPr>
                <w:rFonts w:eastAsia="Arial Unicode MS" w:cs="Arial Unicode MS"/>
              </w:rPr>
              <w:t>Senior Staff Housing</w:t>
            </w:r>
          </w:p>
          <w:p w14:paraId="4E9EF461">
            <w:pPr>
              <w:pStyle w:val="3"/>
            </w:pPr>
            <w:r>
              <w:rPr>
                <w:rFonts w:eastAsia="Arial Unicode MS" w:cs="Arial Unicode MS"/>
              </w:rPr>
              <w:t>(109 units)</w:t>
            </w:r>
          </w:p>
        </w:tc>
        <w:tc>
          <w:tcPr>
            <w:tcW w:w="2438"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43120A00">
            <w:pPr>
              <w:pStyle w:val="3"/>
            </w:pPr>
            <w:r>
              <w:rPr>
                <w:rFonts w:eastAsia="Arial Unicode MS" w:cs="Arial Unicode MS"/>
              </w:rPr>
              <w:t>- 10 Duplexes</w:t>
            </w:r>
          </w:p>
          <w:p w14:paraId="261676E5">
            <w:pPr>
              <w:pStyle w:val="3"/>
            </w:pPr>
            <w:r>
              <w:rPr>
                <w:rFonts w:eastAsia="Arial Unicode MS" w:cs="Arial Unicode MS"/>
              </w:rPr>
              <w:t>- 16 Three-bedroom Semi-detached Bungalows</w:t>
            </w:r>
          </w:p>
          <w:p w14:paraId="46DC0150">
            <w:pPr>
              <w:pStyle w:val="3"/>
            </w:pPr>
            <w:r>
              <w:rPr>
                <w:rFonts w:eastAsia="Arial Unicode MS" w:cs="Arial Unicode MS"/>
              </w:rPr>
              <w:t>- 41 Bungalows</w:t>
            </w:r>
          </w:p>
          <w:p w14:paraId="012B36E7">
            <w:pPr>
              <w:pStyle w:val="3"/>
            </w:pPr>
            <w:r>
              <w:rPr>
                <w:rFonts w:eastAsia="Arial Unicode MS" w:cs="Arial Unicode MS"/>
              </w:rPr>
              <w:t>- 42 Flats</w:t>
            </w:r>
          </w:p>
        </w:tc>
        <w:tc>
          <w:tcPr>
            <w:tcW w:w="1178"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71E5F16A">
            <w:pPr>
              <w:pStyle w:val="3"/>
            </w:pPr>
            <w:r>
              <w:rPr>
                <w:rFonts w:eastAsia="Arial Unicode MS" w:cs="Arial Unicode MS"/>
              </w:rPr>
              <w:t>BOT for 30 years</w:t>
            </w:r>
          </w:p>
        </w:tc>
        <w:tc>
          <w:tcPr>
            <w:tcW w:w="2378"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1D6B63E0">
            <w:pPr>
              <w:pStyle w:val="3"/>
            </w:pPr>
            <w:r>
              <w:rPr>
                <w:rFonts w:eastAsia="Arial Unicode MS" w:cs="Arial Unicode MS"/>
              </w:rPr>
              <w:t>The existing accommodation is grossly inadequate for the ever-increasing senior staff population and the PPP investor will need to Build, Operate and Transfer new housing units for senior staff</w:t>
            </w:r>
          </w:p>
        </w:tc>
        <w:tc>
          <w:tcPr>
            <w:tcW w:w="2198"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54" w:type="dxa"/>
            </w:tcMar>
          </w:tcPr>
          <w:p w14:paraId="3BE34AB0">
            <w:pPr>
              <w:pStyle w:val="3"/>
            </w:pPr>
            <w:r>
              <w:rPr>
                <w:rFonts w:eastAsia="Arial Unicode MS" w:cs="Arial Unicode MS"/>
              </w:rPr>
              <w:t>-Provide different categories of housing with all the necessary facilities (water, electricity, sewage, refuse, etc).</w:t>
            </w:r>
          </w:p>
          <w:p w14:paraId="19B51243">
            <w:pPr>
              <w:pStyle w:val="3"/>
            </w:pPr>
            <w:r>
              <w:rPr>
                <w:rFonts w:eastAsia="Arial Unicode MS" w:cs="Arial Unicode MS"/>
              </w:rPr>
              <w:t>-Operate and manage same for 30 years before transfer</w:t>
            </w:r>
          </w:p>
          <w:p w14:paraId="528A6363">
            <w:pPr>
              <w:pStyle w:val="3"/>
            </w:pPr>
            <w:r>
              <w:rPr>
                <w:rFonts w:eastAsia="Arial Unicode MS" w:cs="Arial Unicode MS"/>
              </w:rPr>
              <w:t>-Make agreed contractual payments to the University</w:t>
            </w:r>
          </w:p>
        </w:tc>
      </w:tr>
      <w:tr w14:paraId="40218C50">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757" w:hRule="atLeast"/>
        </w:trPr>
        <w:tc>
          <w:tcPr>
            <w:tcW w:w="1378" w:type="dxa"/>
            <w:tcBorders>
              <w:top w:val="dotted" w:color="919191" w:sz="6" w:space="0"/>
              <w:left w:val="nil"/>
              <w:bottom w:val="nil"/>
              <w:right w:val="single" w:color="919191" w:sz="2" w:space="0"/>
            </w:tcBorders>
            <w:tcMar>
              <w:top w:w="54" w:type="dxa"/>
              <w:left w:w="54" w:type="dxa"/>
              <w:bottom w:w="54" w:type="dxa"/>
              <w:right w:w="54" w:type="dxa"/>
            </w:tcMar>
          </w:tcPr>
          <w:p w14:paraId="6A9374BC">
            <w:pPr>
              <w:pStyle w:val="3"/>
            </w:pPr>
            <w:r>
              <w:rPr>
                <w:rFonts w:eastAsia="Arial Unicode MS" w:cs="Arial Unicode MS"/>
              </w:rPr>
              <w:t>Junior Staff Housing</w:t>
            </w:r>
          </w:p>
          <w:p w14:paraId="35F2354D">
            <w:pPr>
              <w:pStyle w:val="3"/>
            </w:pPr>
            <w:r>
              <w:rPr>
                <w:rFonts w:eastAsia="Arial Unicode MS" w:cs="Arial Unicode MS"/>
              </w:rPr>
              <w:t>(30 units)</w:t>
            </w:r>
          </w:p>
        </w:tc>
        <w:tc>
          <w:tcPr>
            <w:tcW w:w="2438" w:type="dxa"/>
            <w:tcBorders>
              <w:top w:val="dotted" w:color="919191" w:sz="6" w:space="0"/>
              <w:left w:val="single" w:color="919191" w:sz="2" w:space="0"/>
              <w:bottom w:val="nil"/>
              <w:right w:val="single" w:color="919191" w:sz="2" w:space="0"/>
            </w:tcBorders>
            <w:tcMar>
              <w:top w:w="54" w:type="dxa"/>
              <w:left w:w="54" w:type="dxa"/>
              <w:bottom w:w="54" w:type="dxa"/>
              <w:right w:w="54" w:type="dxa"/>
            </w:tcMar>
          </w:tcPr>
          <w:p w14:paraId="27F39F1E">
            <w:pPr>
              <w:pStyle w:val="3"/>
            </w:pPr>
            <w:r>
              <w:rPr>
                <w:rFonts w:eastAsia="Arial Unicode MS" w:cs="Arial Unicode MS"/>
              </w:rPr>
              <w:t>-30 Two-bedroom bungalows</w:t>
            </w:r>
          </w:p>
          <w:p w14:paraId="482C1B10">
            <w:pPr>
              <w:pStyle w:val="3"/>
            </w:pPr>
            <w:r>
              <w:rPr>
                <w:rFonts w:eastAsia="Arial Unicode MS" w:cs="Arial Unicode MS"/>
              </w:rPr>
              <w:t>-</w:t>
            </w:r>
          </w:p>
        </w:tc>
        <w:tc>
          <w:tcPr>
            <w:tcW w:w="1178" w:type="dxa"/>
            <w:tcBorders>
              <w:top w:val="dotted" w:color="919191" w:sz="6" w:space="0"/>
              <w:left w:val="single" w:color="919191" w:sz="2" w:space="0"/>
              <w:bottom w:val="nil"/>
              <w:right w:val="single" w:color="919191" w:sz="2" w:space="0"/>
            </w:tcBorders>
            <w:tcMar>
              <w:top w:w="54" w:type="dxa"/>
              <w:left w:w="54" w:type="dxa"/>
              <w:bottom w:w="54" w:type="dxa"/>
              <w:right w:w="54" w:type="dxa"/>
            </w:tcMar>
          </w:tcPr>
          <w:p w14:paraId="5F17147F">
            <w:pPr>
              <w:pStyle w:val="3"/>
            </w:pPr>
            <w:r>
              <w:rPr>
                <w:rFonts w:eastAsia="Arial Unicode MS" w:cs="Arial Unicode MS"/>
              </w:rPr>
              <w:t>BOT for 30 years</w:t>
            </w:r>
          </w:p>
        </w:tc>
        <w:tc>
          <w:tcPr>
            <w:tcW w:w="2378" w:type="dxa"/>
            <w:tcBorders>
              <w:top w:val="dotted" w:color="919191" w:sz="6" w:space="0"/>
              <w:left w:val="single" w:color="919191" w:sz="2" w:space="0"/>
              <w:bottom w:val="nil"/>
              <w:right w:val="single" w:color="919191" w:sz="2" w:space="0"/>
            </w:tcBorders>
            <w:tcMar>
              <w:top w:w="54" w:type="dxa"/>
              <w:left w:w="54" w:type="dxa"/>
              <w:bottom w:w="54" w:type="dxa"/>
              <w:right w:w="54" w:type="dxa"/>
            </w:tcMar>
          </w:tcPr>
          <w:p w14:paraId="137A2441">
            <w:pPr>
              <w:pStyle w:val="3"/>
            </w:pPr>
            <w:r>
              <w:rPr>
                <w:rFonts w:eastAsia="Arial Unicode MS" w:cs="Arial Unicode MS"/>
              </w:rPr>
              <w:t>The existing accommodation is grossly inadequate for the ever-increasing junior staff population and the PPP investor will need to Build, Operate and Transfer new housing units for junior staff</w:t>
            </w:r>
          </w:p>
        </w:tc>
        <w:tc>
          <w:tcPr>
            <w:tcW w:w="2198" w:type="dxa"/>
            <w:tcBorders>
              <w:top w:val="dotted" w:color="919191" w:sz="6" w:space="0"/>
              <w:left w:val="single" w:color="919191" w:sz="2" w:space="0"/>
              <w:bottom w:val="nil"/>
              <w:right w:val="nil"/>
            </w:tcBorders>
            <w:tcMar>
              <w:top w:w="54" w:type="dxa"/>
              <w:left w:w="54" w:type="dxa"/>
              <w:bottom w:w="54" w:type="dxa"/>
              <w:right w:w="54" w:type="dxa"/>
            </w:tcMar>
          </w:tcPr>
          <w:p w14:paraId="4FCD9C77">
            <w:pPr>
              <w:pStyle w:val="3"/>
            </w:pPr>
            <w:r>
              <w:rPr>
                <w:rFonts w:eastAsia="Arial Unicode MS" w:cs="Arial Unicode MS"/>
              </w:rPr>
              <w:t>-Provide different categories of housing with all the necessary facilities (water, electricity, sewage, refuse, etc).</w:t>
            </w:r>
          </w:p>
          <w:p w14:paraId="1DF86CAE">
            <w:pPr>
              <w:pStyle w:val="3"/>
            </w:pPr>
            <w:r>
              <w:rPr>
                <w:rFonts w:eastAsia="Arial Unicode MS" w:cs="Arial Unicode MS"/>
              </w:rPr>
              <w:t>-Operate and manage same for 30 years before transfer</w:t>
            </w:r>
          </w:p>
          <w:p w14:paraId="5E6E14D1">
            <w:pPr>
              <w:pStyle w:val="3"/>
            </w:pPr>
            <w:r>
              <w:rPr>
                <w:rFonts w:eastAsia="Arial Unicode MS" w:cs="Arial Unicode MS"/>
              </w:rPr>
              <w:t>- Make agreed contractual payments to the University</w:t>
            </w:r>
          </w:p>
        </w:tc>
      </w:tr>
    </w:tbl>
    <w:p w14:paraId="6210B29A">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35A09A1C">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6D44E7AE">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0778F14E">
      <w:pPr>
        <w:pStyle w:val="2"/>
        <w:spacing w:line="360" w:lineRule="auto"/>
        <w:rPr>
          <w:color w:val="000000"/>
          <w:sz w:val="24"/>
          <w:szCs w:val="24"/>
        </w:rPr>
      </w:pPr>
      <w:bookmarkStart w:id="97" w:name="_Toc96"/>
      <w:r>
        <w:rPr>
          <w:color w:val="000000"/>
          <w:sz w:val="24"/>
          <w:szCs w:val="24"/>
        </w:rPr>
        <w:t>HOSPITALITY SECTOR</w:t>
      </w:r>
      <w:bookmarkEnd w:id="97"/>
    </w:p>
    <w:p w14:paraId="45CDF0D0">
      <w:pPr>
        <w:pStyle w:val="3"/>
        <w:spacing w:line="360" w:lineRule="auto"/>
        <w:rPr>
          <w:sz w:val="24"/>
          <w:szCs w:val="24"/>
        </w:rPr>
      </w:pPr>
      <w:r>
        <w:rPr>
          <w:sz w:val="24"/>
          <w:szCs w:val="24"/>
          <w:lang w:val="en-US"/>
        </w:rPr>
        <w:t>The following facilities are recommended for PPP arrangement:</w:t>
      </w:r>
    </w:p>
    <w:p w14:paraId="089C2D3D">
      <w:pPr>
        <w:pStyle w:val="3"/>
        <w:spacing w:line="360" w:lineRule="auto"/>
        <w:rPr>
          <w:sz w:val="24"/>
          <w:szCs w:val="24"/>
        </w:rPr>
      </w:pPr>
      <w:r>
        <w:rPr>
          <w:sz w:val="24"/>
          <w:szCs w:val="24"/>
          <w:lang w:val="en-US"/>
        </w:rPr>
        <w:t>University of Nigeria General Enterprises Limited (UNGEL) at Nsukka and Enugu Campuses</w:t>
      </w:r>
    </w:p>
    <w:p w14:paraId="6A80302F">
      <w:pPr>
        <w:pStyle w:val="3"/>
        <w:spacing w:line="360" w:lineRule="auto"/>
        <w:rPr>
          <w:sz w:val="24"/>
          <w:szCs w:val="24"/>
        </w:rPr>
      </w:pPr>
      <w:r>
        <w:rPr>
          <w:sz w:val="24"/>
          <w:szCs w:val="24"/>
          <w:lang w:val="en-US"/>
        </w:rPr>
        <w:t>Presidential Lodge at Nsukka Campus</w:t>
      </w:r>
    </w:p>
    <w:p w14:paraId="52C56FA9">
      <w:pPr>
        <w:pStyle w:val="3"/>
        <w:spacing w:line="360" w:lineRule="auto"/>
        <w:rPr>
          <w:sz w:val="24"/>
          <w:szCs w:val="24"/>
        </w:rPr>
      </w:pPr>
      <w:r>
        <w:rPr>
          <w:sz w:val="24"/>
          <w:szCs w:val="24"/>
          <w:lang w:val="en-US"/>
        </w:rPr>
        <w:t>UNN Liaison Office at Ikeja Lagos</w:t>
      </w:r>
    </w:p>
    <w:p w14:paraId="7B599882">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373CA591">
      <w:pPr>
        <w:pStyle w:val="3"/>
        <w:spacing w:line="360" w:lineRule="auto"/>
        <w:jc w:val="both"/>
        <w:rPr>
          <w:sz w:val="24"/>
          <w:szCs w:val="24"/>
        </w:rPr>
      </w:pPr>
      <w:r>
        <w:rPr>
          <w:sz w:val="24"/>
          <w:szCs w:val="24"/>
          <w:lang w:val="en-US"/>
        </w:rPr>
        <w:t>The existing facilities are currently operating at sub-optimal level, and it is envisaged that a PPP arrangement should improve service delivery and profitability (return on investment). UNGEL currently has a management team comprising a Coordinator and eight board members.</w:t>
      </w:r>
    </w:p>
    <w:p w14:paraId="2CA88C8F">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59251E78">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b/>
          <w:bCs/>
          <w:sz w:val="24"/>
          <w:szCs w:val="24"/>
        </w:rPr>
      </w:pPr>
      <w:r>
        <w:rPr>
          <w:rFonts w:ascii="Times New Roman" w:hAnsi="Times New Roman"/>
          <w:b/>
          <w:bCs/>
          <w:sz w:val="24"/>
          <w:szCs w:val="24"/>
          <w:lang w:val="fr-FR"/>
        </w:rPr>
        <w:t xml:space="preserve">Table 5 </w:t>
      </w:r>
      <w:r>
        <w:rPr>
          <w:rFonts w:ascii="Times New Roman" w:hAnsi="Times New Roman"/>
          <w:b/>
          <w:bCs/>
          <w:sz w:val="24"/>
          <w:szCs w:val="24"/>
        </w:rPr>
        <w:t xml:space="preserve">– </w:t>
      </w:r>
      <w:r>
        <w:rPr>
          <w:rFonts w:ascii="Times New Roman" w:hAnsi="Times New Roman"/>
          <w:b/>
          <w:bCs/>
          <w:sz w:val="24"/>
          <w:szCs w:val="24"/>
          <w:lang w:val="en-US"/>
        </w:rPr>
        <w:t>UNGEL Nsukka and Enugu Campuses</w:t>
      </w:r>
    </w:p>
    <w:p w14:paraId="000EB73E">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tbl>
      <w:tblPr>
        <w:tblStyle w:val="6"/>
        <w:tblW w:w="9360" w:type="dxa"/>
        <w:tblInd w:w="108" w:type="dxa"/>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Layout w:type="fixed"/>
        <w:tblCellMar>
          <w:top w:w="0" w:type="dxa"/>
          <w:left w:w="108" w:type="dxa"/>
          <w:bottom w:w="0" w:type="dxa"/>
          <w:right w:w="108" w:type="dxa"/>
        </w:tblCellMar>
      </w:tblPr>
      <w:tblGrid>
        <w:gridCol w:w="1347"/>
        <w:gridCol w:w="2385"/>
        <w:gridCol w:w="1152"/>
        <w:gridCol w:w="2326"/>
        <w:gridCol w:w="2150"/>
      </w:tblGrid>
      <w:tr w14:paraId="65EF8256">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815" w:hRule="atLeast"/>
        </w:trPr>
        <w:tc>
          <w:tcPr>
            <w:tcW w:w="1347" w:type="dxa"/>
            <w:tcBorders>
              <w:top w:val="nil"/>
              <w:left w:val="nil"/>
              <w:bottom w:val="dotted" w:color="919191" w:sz="6" w:space="0"/>
              <w:right w:val="single" w:color="919191" w:sz="2" w:space="0"/>
            </w:tcBorders>
            <w:tcMar>
              <w:top w:w="54" w:type="dxa"/>
              <w:left w:w="54" w:type="dxa"/>
              <w:bottom w:w="54" w:type="dxa"/>
              <w:right w:w="54" w:type="dxa"/>
            </w:tcMar>
          </w:tcPr>
          <w:p w14:paraId="4F986A3D">
            <w:pPr>
              <w:pStyle w:val="3"/>
            </w:pPr>
            <w:r>
              <w:rPr>
                <w:rFonts w:ascii="Helvetica Neue" w:hAnsi="Helvetica Neue"/>
                <w:b/>
                <w:bCs/>
              </w:rPr>
              <w:t>Type</w:t>
            </w:r>
          </w:p>
        </w:tc>
        <w:tc>
          <w:tcPr>
            <w:tcW w:w="2384" w:type="dxa"/>
            <w:tcBorders>
              <w:top w:val="nil"/>
              <w:left w:val="single" w:color="919191" w:sz="2" w:space="0"/>
              <w:bottom w:val="dotted" w:color="919191" w:sz="6" w:space="0"/>
              <w:right w:val="single" w:color="919191" w:sz="2" w:space="0"/>
            </w:tcBorders>
            <w:tcMar>
              <w:top w:w="54" w:type="dxa"/>
              <w:left w:w="54" w:type="dxa"/>
              <w:bottom w:w="54" w:type="dxa"/>
              <w:right w:w="54" w:type="dxa"/>
            </w:tcMar>
          </w:tcPr>
          <w:p w14:paraId="25308027">
            <w:pPr>
              <w:pStyle w:val="3"/>
            </w:pPr>
            <w:r>
              <w:rPr>
                <w:rFonts w:ascii="Helvetica Neue" w:hAnsi="Helvetica Neue"/>
                <w:b/>
                <w:bCs/>
              </w:rPr>
              <w:t>Existing Facilities</w:t>
            </w:r>
          </w:p>
        </w:tc>
        <w:tc>
          <w:tcPr>
            <w:tcW w:w="1152" w:type="dxa"/>
            <w:tcBorders>
              <w:top w:val="nil"/>
              <w:left w:val="single" w:color="919191" w:sz="2" w:space="0"/>
              <w:bottom w:val="dotted" w:color="919191" w:sz="6" w:space="0"/>
              <w:right w:val="single" w:color="919191" w:sz="2" w:space="0"/>
            </w:tcBorders>
            <w:tcMar>
              <w:top w:w="54" w:type="dxa"/>
              <w:left w:w="54" w:type="dxa"/>
              <w:bottom w:w="54" w:type="dxa"/>
              <w:right w:w="54" w:type="dxa"/>
            </w:tcMar>
          </w:tcPr>
          <w:p w14:paraId="50B11F0D">
            <w:pPr>
              <w:pStyle w:val="3"/>
            </w:pPr>
            <w:r>
              <w:rPr>
                <w:rFonts w:ascii="Helvetica Neue" w:hAnsi="Helvetica Neue"/>
                <w:b/>
                <w:bCs/>
              </w:rPr>
              <w:t>Tentative PPP Model</w:t>
            </w:r>
          </w:p>
        </w:tc>
        <w:tc>
          <w:tcPr>
            <w:tcW w:w="2325" w:type="dxa"/>
            <w:tcBorders>
              <w:top w:val="nil"/>
              <w:left w:val="single" w:color="919191" w:sz="2" w:space="0"/>
              <w:bottom w:val="dotted" w:color="919191" w:sz="6" w:space="0"/>
              <w:right w:val="single" w:color="919191" w:sz="2" w:space="0"/>
            </w:tcBorders>
            <w:tcMar>
              <w:top w:w="54" w:type="dxa"/>
              <w:left w:w="54" w:type="dxa"/>
              <w:bottom w:w="54" w:type="dxa"/>
              <w:right w:w="54" w:type="dxa"/>
            </w:tcMar>
          </w:tcPr>
          <w:p w14:paraId="3601091E">
            <w:pPr>
              <w:pStyle w:val="3"/>
            </w:pPr>
            <w:r>
              <w:rPr>
                <w:rFonts w:ascii="Helvetica Neue" w:hAnsi="Helvetica Neue"/>
                <w:b/>
                <w:bCs/>
              </w:rPr>
              <w:t>Reason</w:t>
            </w:r>
          </w:p>
        </w:tc>
        <w:tc>
          <w:tcPr>
            <w:tcW w:w="2149" w:type="dxa"/>
            <w:tcBorders>
              <w:top w:val="nil"/>
              <w:left w:val="single" w:color="919191" w:sz="2" w:space="0"/>
              <w:bottom w:val="dotted" w:color="919191" w:sz="6" w:space="0"/>
              <w:right w:val="nil"/>
            </w:tcBorders>
            <w:tcMar>
              <w:top w:w="54" w:type="dxa"/>
              <w:left w:w="54" w:type="dxa"/>
              <w:bottom w:w="54" w:type="dxa"/>
              <w:right w:w="54" w:type="dxa"/>
            </w:tcMar>
          </w:tcPr>
          <w:p w14:paraId="60C7A41B">
            <w:pPr>
              <w:pStyle w:val="3"/>
            </w:pPr>
            <w:r>
              <w:rPr>
                <w:rFonts w:ascii="Helvetica Neue" w:hAnsi="Helvetica Neue"/>
                <w:b/>
                <w:bCs/>
              </w:rPr>
              <w:t>Duties of Investor</w:t>
            </w:r>
          </w:p>
        </w:tc>
      </w:tr>
      <w:tr w14:paraId="57C9D483">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7572" w:hRule="atLeast"/>
        </w:trPr>
        <w:tc>
          <w:tcPr>
            <w:tcW w:w="1347" w:type="dxa"/>
            <w:tcBorders>
              <w:top w:val="dotted" w:color="919191" w:sz="6" w:space="0"/>
              <w:left w:val="nil"/>
              <w:bottom w:val="dotted" w:color="919191" w:sz="6" w:space="0"/>
              <w:right w:val="single" w:color="919191" w:sz="2" w:space="0"/>
            </w:tcBorders>
            <w:shd w:val="clear" w:color="auto" w:fill="EEEEEE"/>
            <w:tcMar>
              <w:top w:w="54" w:type="dxa"/>
              <w:left w:w="54" w:type="dxa"/>
              <w:bottom w:w="54" w:type="dxa"/>
              <w:right w:w="54" w:type="dxa"/>
            </w:tcMar>
          </w:tcPr>
          <w:p w14:paraId="306817FA">
            <w:pPr>
              <w:pStyle w:val="3"/>
            </w:pPr>
            <w:r>
              <w:rPr>
                <w:rFonts w:eastAsia="Arial Unicode MS" w:cs="Arial Unicode MS"/>
              </w:rPr>
              <w:t>UNGEL Nsukka</w:t>
            </w:r>
          </w:p>
          <w:p w14:paraId="246C9987">
            <w:pPr>
              <w:pStyle w:val="3"/>
            </w:pPr>
            <w:r>
              <w:rPr>
                <w:rFonts w:eastAsia="Arial Unicode MS" w:cs="Arial Unicode MS"/>
              </w:rPr>
              <w:t>(Staff Strength – 58)</w:t>
            </w:r>
          </w:p>
        </w:tc>
        <w:tc>
          <w:tcPr>
            <w:tcW w:w="2384"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754AA35C">
            <w:pPr>
              <w:pStyle w:val="3"/>
            </w:pPr>
            <w:r>
              <w:rPr>
                <w:rFonts w:eastAsia="Arial Unicode MS" w:cs="Arial Unicode MS"/>
              </w:rPr>
              <w:t>-two-storey building (76 guest rooms + 6 offices + reception)</w:t>
            </w:r>
          </w:p>
          <w:p w14:paraId="4B6A0006">
            <w:pPr>
              <w:pStyle w:val="3"/>
            </w:pPr>
            <w:r>
              <w:rPr>
                <w:rFonts w:eastAsia="Arial Unicode MS" w:cs="Arial Unicode MS"/>
              </w:rPr>
              <w:t>-Restaurant</w:t>
            </w:r>
          </w:p>
          <w:p w14:paraId="3C8FCCE8">
            <w:pPr>
              <w:pStyle w:val="3"/>
            </w:pPr>
            <w:r>
              <w:rPr>
                <w:rFonts w:eastAsia="Arial Unicode MS" w:cs="Arial Unicode MS"/>
              </w:rPr>
              <w:t>-Bar</w:t>
            </w:r>
          </w:p>
          <w:p w14:paraId="73B4BB3E">
            <w:pPr>
              <w:pStyle w:val="3"/>
            </w:pPr>
            <w:r>
              <w:rPr>
                <w:rFonts w:eastAsia="Arial Unicode MS" w:cs="Arial Unicode MS"/>
              </w:rPr>
              <w:t xml:space="preserve">-well-equipped Kitchen </w:t>
            </w:r>
          </w:p>
          <w:p w14:paraId="778026FE">
            <w:pPr>
              <w:pStyle w:val="3"/>
            </w:pPr>
            <w:r>
              <w:rPr>
                <w:rFonts w:eastAsia="Arial Unicode MS" w:cs="Arial Unicode MS"/>
              </w:rPr>
              <w:t xml:space="preserve">-2 Halls </w:t>
            </w:r>
          </w:p>
          <w:p w14:paraId="0A64C6A7">
            <w:pPr>
              <w:pStyle w:val="3"/>
            </w:pPr>
            <w:r>
              <w:rPr>
                <w:rFonts w:eastAsia="Arial Unicode MS" w:cs="Arial Unicode MS"/>
              </w:rPr>
              <w:t>-Cold room</w:t>
            </w:r>
          </w:p>
          <w:p w14:paraId="5725A931">
            <w:pPr>
              <w:pStyle w:val="3"/>
            </w:pPr>
            <w:r>
              <w:rPr>
                <w:rFonts w:eastAsia="Arial Unicode MS" w:cs="Arial Unicode MS"/>
              </w:rPr>
              <w:t>-3 stand-by generators (110 KVA, 250 KVA and 350 KVA)</w:t>
            </w:r>
          </w:p>
          <w:p w14:paraId="5AD8A34D">
            <w:pPr>
              <w:pStyle w:val="3"/>
            </w:pPr>
            <w:r>
              <w:rPr>
                <w:rFonts w:eastAsia="Arial Unicode MS" w:cs="Arial Unicode MS"/>
              </w:rPr>
              <w:t>-Laundry/Drycleaning</w:t>
            </w:r>
          </w:p>
          <w:p w14:paraId="43FDAD65">
            <w:pPr>
              <w:pStyle w:val="3"/>
            </w:pPr>
            <w:r>
              <w:rPr>
                <w:rFonts w:eastAsia="Arial Unicode MS" w:cs="Arial Unicode MS"/>
              </w:rPr>
              <w:t>- Business Center</w:t>
            </w:r>
          </w:p>
          <w:p w14:paraId="75F1CF29">
            <w:pPr>
              <w:pStyle w:val="3"/>
            </w:pPr>
            <w:r>
              <w:rPr>
                <w:rFonts w:eastAsia="Arial Unicode MS" w:cs="Arial Unicode MS"/>
              </w:rPr>
              <w:t>- 1 functional Borehole</w:t>
            </w:r>
          </w:p>
          <w:p w14:paraId="58A53F12">
            <w:pPr>
              <w:pStyle w:val="3"/>
            </w:pPr>
            <w:r>
              <w:rPr>
                <w:rFonts w:eastAsia="Arial Unicode MS" w:cs="Arial Unicode MS"/>
              </w:rPr>
              <w:t>-Tissue paper factory</w:t>
            </w:r>
          </w:p>
          <w:p w14:paraId="56717406">
            <w:pPr>
              <w:pStyle w:val="3"/>
            </w:pPr>
            <w:r>
              <w:rPr>
                <w:rFonts w:eastAsia="Arial Unicode MS" w:cs="Arial Unicode MS"/>
              </w:rPr>
              <w:t>-1 Guest house (one-storey building of two-bedroom flats)</w:t>
            </w:r>
          </w:p>
          <w:p w14:paraId="597CE5E4">
            <w:pPr>
              <w:pStyle w:val="3"/>
            </w:pPr>
            <w:r>
              <w:rPr>
                <w:rFonts w:eastAsia="Arial Unicode MS" w:cs="Arial Unicode MS"/>
              </w:rPr>
              <w:t>-1 Dedicated transformer</w:t>
            </w:r>
          </w:p>
        </w:tc>
        <w:tc>
          <w:tcPr>
            <w:tcW w:w="1152"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278C4242">
            <w:pPr>
              <w:pStyle w:val="3"/>
            </w:pPr>
            <w:r>
              <w:rPr>
                <w:rFonts w:eastAsia="Arial Unicode MS" w:cs="Arial Unicode MS"/>
              </w:rPr>
              <w:t>Lease Contract for 10 years subject to renewal</w:t>
            </w:r>
          </w:p>
        </w:tc>
        <w:tc>
          <w:tcPr>
            <w:tcW w:w="2325"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4AD69D11">
            <w:pPr>
              <w:pStyle w:val="3"/>
            </w:pPr>
            <w:r>
              <w:rPr>
                <w:rFonts w:eastAsia="Arial Unicode MS" w:cs="Arial Unicode MS"/>
              </w:rPr>
              <w:t>The PPP investor will ensure world class service delivery and prompt maintenance of facilities as well as profitability of the business.</w:t>
            </w:r>
          </w:p>
        </w:tc>
        <w:tc>
          <w:tcPr>
            <w:tcW w:w="2149"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54" w:type="dxa"/>
            </w:tcMar>
          </w:tcPr>
          <w:p w14:paraId="26546CC5">
            <w:pPr>
              <w:pStyle w:val="3"/>
            </w:pPr>
            <w:r>
              <w:rPr>
                <w:rFonts w:eastAsia="Arial Unicode MS" w:cs="Arial Unicode MS"/>
              </w:rPr>
              <w:t>-Renovation and repairs (WCs, floor tiles, ACs, Water heaters, painting, etc)</w:t>
            </w:r>
          </w:p>
          <w:p w14:paraId="0FDD8202">
            <w:pPr>
              <w:pStyle w:val="3"/>
            </w:pPr>
            <w:r>
              <w:rPr>
                <w:rFonts w:eastAsia="Arial Unicode MS" w:cs="Arial Unicode MS"/>
              </w:rPr>
              <w:t>-Sanitation (cleaning of rooms, common areas, conveniences, hotel environment and refuse disposal)</w:t>
            </w:r>
          </w:p>
          <w:p w14:paraId="3FD1424B">
            <w:pPr>
              <w:pStyle w:val="3"/>
            </w:pPr>
            <w:r>
              <w:rPr>
                <w:rFonts w:eastAsia="Arial Unicode MS" w:cs="Arial Unicode MS"/>
              </w:rPr>
              <w:t>-Maintenance (electrical, plumbing, sewage, etc)</w:t>
            </w:r>
          </w:p>
          <w:p w14:paraId="59E92098">
            <w:pPr>
              <w:pStyle w:val="3"/>
            </w:pPr>
            <w:r>
              <w:rPr>
                <w:rFonts w:eastAsia="Arial Unicode MS" w:cs="Arial Unicode MS"/>
              </w:rPr>
              <w:t>-Operate and manage for 10 years subject to renewal</w:t>
            </w:r>
          </w:p>
          <w:p w14:paraId="5F944FE4">
            <w:pPr>
              <w:pStyle w:val="3"/>
            </w:pPr>
            <w:r>
              <w:rPr>
                <w:rFonts w:eastAsia="Arial Unicode MS" w:cs="Arial Unicode MS"/>
              </w:rPr>
              <w:t>-Make agreed lease payments to the University</w:t>
            </w:r>
          </w:p>
        </w:tc>
      </w:tr>
      <w:tr w14:paraId="14949EA5">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6305" w:hRule="atLeast"/>
        </w:trPr>
        <w:tc>
          <w:tcPr>
            <w:tcW w:w="1347" w:type="dxa"/>
            <w:tcBorders>
              <w:top w:val="dotted" w:color="919191" w:sz="6" w:space="0"/>
              <w:left w:val="nil"/>
              <w:bottom w:val="nil"/>
              <w:right w:val="single" w:color="919191" w:sz="2" w:space="0"/>
            </w:tcBorders>
            <w:tcMar>
              <w:top w:w="54" w:type="dxa"/>
              <w:left w:w="54" w:type="dxa"/>
              <w:bottom w:w="54" w:type="dxa"/>
              <w:right w:w="54" w:type="dxa"/>
            </w:tcMar>
          </w:tcPr>
          <w:p w14:paraId="74EA9B00">
            <w:pPr>
              <w:pStyle w:val="3"/>
            </w:pPr>
            <w:r>
              <w:rPr>
                <w:rFonts w:eastAsia="Arial Unicode MS" w:cs="Arial Unicode MS"/>
              </w:rPr>
              <w:t>UNGEL Enugu</w:t>
            </w:r>
          </w:p>
          <w:p w14:paraId="6749410A">
            <w:pPr>
              <w:pStyle w:val="3"/>
            </w:pPr>
            <w:r>
              <w:rPr>
                <w:rFonts w:eastAsia="Arial Unicode MS" w:cs="Arial Unicode MS"/>
              </w:rPr>
              <w:t>(Staff Strength – 23)</w:t>
            </w:r>
          </w:p>
        </w:tc>
        <w:tc>
          <w:tcPr>
            <w:tcW w:w="2384" w:type="dxa"/>
            <w:tcBorders>
              <w:top w:val="dotted" w:color="919191" w:sz="6" w:space="0"/>
              <w:left w:val="single" w:color="919191" w:sz="2" w:space="0"/>
              <w:bottom w:val="nil"/>
              <w:right w:val="single" w:color="919191" w:sz="2" w:space="0"/>
            </w:tcBorders>
            <w:tcMar>
              <w:top w:w="54" w:type="dxa"/>
              <w:left w:w="54" w:type="dxa"/>
              <w:bottom w:w="54" w:type="dxa"/>
              <w:right w:w="54" w:type="dxa"/>
            </w:tcMar>
          </w:tcPr>
          <w:p w14:paraId="00510802">
            <w:pPr>
              <w:pStyle w:val="3"/>
            </w:pPr>
            <w:r>
              <w:rPr>
                <w:rFonts w:eastAsia="Arial Unicode MS" w:cs="Arial Unicode MS"/>
              </w:rPr>
              <w:t>-1 twin Duplex (30 guest rooms + 2 offices + reception)</w:t>
            </w:r>
          </w:p>
          <w:p w14:paraId="3FACF35E">
            <w:pPr>
              <w:pStyle w:val="3"/>
            </w:pPr>
            <w:r>
              <w:rPr>
                <w:rFonts w:eastAsia="Arial Unicode MS" w:cs="Arial Unicode MS"/>
              </w:rPr>
              <w:t>-1 Bungalow (4 rooms)</w:t>
            </w:r>
          </w:p>
          <w:p w14:paraId="6901314B">
            <w:pPr>
              <w:pStyle w:val="3"/>
            </w:pPr>
            <w:r>
              <w:rPr>
                <w:rFonts w:eastAsia="Arial Unicode MS" w:cs="Arial Unicode MS"/>
              </w:rPr>
              <w:t>-Restaurant</w:t>
            </w:r>
          </w:p>
          <w:p w14:paraId="6DCCF1CB">
            <w:pPr>
              <w:pStyle w:val="3"/>
            </w:pPr>
            <w:r>
              <w:rPr>
                <w:rFonts w:eastAsia="Arial Unicode MS" w:cs="Arial Unicode MS"/>
              </w:rPr>
              <w:t>-Bar</w:t>
            </w:r>
          </w:p>
          <w:p w14:paraId="6A64F9FF">
            <w:pPr>
              <w:pStyle w:val="3"/>
            </w:pPr>
            <w:r>
              <w:rPr>
                <w:rFonts w:eastAsia="Arial Unicode MS" w:cs="Arial Unicode MS"/>
              </w:rPr>
              <w:t xml:space="preserve">-well-equipped Kitchen </w:t>
            </w:r>
          </w:p>
          <w:p w14:paraId="3ED79237">
            <w:pPr>
              <w:pStyle w:val="3"/>
            </w:pPr>
            <w:r>
              <w:rPr>
                <w:rFonts w:eastAsia="Arial Unicode MS" w:cs="Arial Unicode MS"/>
              </w:rPr>
              <w:t>-2 stand-by generators (100 KVA and 250 KVA)</w:t>
            </w:r>
          </w:p>
          <w:p w14:paraId="6F111501">
            <w:pPr>
              <w:pStyle w:val="3"/>
            </w:pPr>
            <w:r>
              <w:rPr>
                <w:rFonts w:eastAsia="Arial Unicode MS" w:cs="Arial Unicode MS"/>
              </w:rPr>
              <w:t>-Laundry/Drycleaning</w:t>
            </w:r>
          </w:p>
          <w:p w14:paraId="7D5FBD12">
            <w:pPr>
              <w:pStyle w:val="3"/>
            </w:pPr>
            <w:r>
              <w:rPr>
                <w:rFonts w:eastAsia="Arial Unicode MS" w:cs="Arial Unicode MS"/>
              </w:rPr>
              <w:t>- 1 Dedicated transformer</w:t>
            </w:r>
          </w:p>
        </w:tc>
        <w:tc>
          <w:tcPr>
            <w:tcW w:w="1152" w:type="dxa"/>
            <w:tcBorders>
              <w:top w:val="dotted" w:color="919191" w:sz="6" w:space="0"/>
              <w:left w:val="single" w:color="919191" w:sz="2" w:space="0"/>
              <w:bottom w:val="nil"/>
              <w:right w:val="single" w:color="919191" w:sz="2" w:space="0"/>
            </w:tcBorders>
            <w:tcMar>
              <w:top w:w="54" w:type="dxa"/>
              <w:left w:w="54" w:type="dxa"/>
              <w:bottom w:w="54" w:type="dxa"/>
              <w:right w:w="54" w:type="dxa"/>
            </w:tcMar>
          </w:tcPr>
          <w:p w14:paraId="5CE56987">
            <w:pPr>
              <w:pStyle w:val="3"/>
            </w:pPr>
            <w:r>
              <w:rPr>
                <w:rFonts w:eastAsia="Arial Unicode MS" w:cs="Arial Unicode MS"/>
              </w:rPr>
              <w:t>Lease Contract for 10 years subject to renewal</w:t>
            </w:r>
          </w:p>
        </w:tc>
        <w:tc>
          <w:tcPr>
            <w:tcW w:w="2325" w:type="dxa"/>
            <w:tcBorders>
              <w:top w:val="dotted" w:color="919191" w:sz="6" w:space="0"/>
              <w:left w:val="single" w:color="919191" w:sz="2" w:space="0"/>
              <w:bottom w:val="nil"/>
              <w:right w:val="single" w:color="919191" w:sz="2" w:space="0"/>
            </w:tcBorders>
            <w:tcMar>
              <w:top w:w="54" w:type="dxa"/>
              <w:left w:w="54" w:type="dxa"/>
              <w:bottom w:w="54" w:type="dxa"/>
              <w:right w:w="54" w:type="dxa"/>
            </w:tcMar>
          </w:tcPr>
          <w:p w14:paraId="680E41F9">
            <w:pPr>
              <w:pStyle w:val="3"/>
            </w:pPr>
            <w:r>
              <w:rPr>
                <w:rFonts w:eastAsia="Arial Unicode MS" w:cs="Arial Unicode MS"/>
              </w:rPr>
              <w:t>The PPP investor will ensure world class service delivery and prompt maintenance of facilities as well as profitability of the business.</w:t>
            </w:r>
          </w:p>
        </w:tc>
        <w:tc>
          <w:tcPr>
            <w:tcW w:w="2149" w:type="dxa"/>
            <w:tcBorders>
              <w:top w:val="dotted" w:color="919191" w:sz="6" w:space="0"/>
              <w:left w:val="single" w:color="919191" w:sz="2" w:space="0"/>
              <w:bottom w:val="nil"/>
              <w:right w:val="nil"/>
            </w:tcBorders>
            <w:tcMar>
              <w:top w:w="54" w:type="dxa"/>
              <w:left w:w="54" w:type="dxa"/>
              <w:bottom w:w="54" w:type="dxa"/>
              <w:right w:w="54" w:type="dxa"/>
            </w:tcMar>
          </w:tcPr>
          <w:p w14:paraId="0605D6CF">
            <w:pPr>
              <w:pStyle w:val="3"/>
            </w:pPr>
            <w:r>
              <w:rPr>
                <w:rFonts w:eastAsia="Arial Unicode MS" w:cs="Arial Unicode MS"/>
              </w:rPr>
              <w:t>-Renovation and repairs (WCs, floor tiles, ACs, Water heaters, painting, etc)</w:t>
            </w:r>
          </w:p>
          <w:p w14:paraId="290E8583">
            <w:pPr>
              <w:pStyle w:val="3"/>
            </w:pPr>
            <w:r>
              <w:rPr>
                <w:rFonts w:eastAsia="Arial Unicode MS" w:cs="Arial Unicode MS"/>
              </w:rPr>
              <w:t>-Provision of water</w:t>
            </w:r>
          </w:p>
          <w:p w14:paraId="2D24C2EA">
            <w:pPr>
              <w:pStyle w:val="3"/>
            </w:pPr>
            <w:r>
              <w:rPr>
                <w:rFonts w:eastAsia="Arial Unicode MS" w:cs="Arial Unicode MS"/>
              </w:rPr>
              <w:t>-Sanitation (cleaning of rooms, common areas, conveniences, hotel environment and refuse disposal)</w:t>
            </w:r>
          </w:p>
          <w:p w14:paraId="76565A0E">
            <w:pPr>
              <w:pStyle w:val="3"/>
            </w:pPr>
            <w:r>
              <w:rPr>
                <w:rFonts w:eastAsia="Arial Unicode MS" w:cs="Arial Unicode MS"/>
              </w:rPr>
              <w:t>-Maintenance (electrical, plumbing, sewage, etc)</w:t>
            </w:r>
          </w:p>
          <w:p w14:paraId="69C9BD20">
            <w:pPr>
              <w:pStyle w:val="3"/>
            </w:pPr>
            <w:r>
              <w:rPr>
                <w:rFonts w:eastAsia="Arial Unicode MS" w:cs="Arial Unicode MS"/>
              </w:rPr>
              <w:t>-Operate and manage for 10 years subject to renewal</w:t>
            </w:r>
          </w:p>
          <w:p w14:paraId="7B695FFE">
            <w:pPr>
              <w:pStyle w:val="3"/>
            </w:pPr>
            <w:r>
              <w:rPr>
                <w:rFonts w:eastAsia="Arial Unicode MS" w:cs="Arial Unicode MS"/>
              </w:rPr>
              <w:t>-Make agreed lease payments to the University</w:t>
            </w:r>
          </w:p>
        </w:tc>
      </w:tr>
    </w:tbl>
    <w:p w14:paraId="2496CDB9">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485F0B5F">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01441B33">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2CD42548">
      <w:pPr>
        <w:pStyle w:val="2"/>
        <w:rPr>
          <w:color w:val="000000"/>
          <w:sz w:val="26"/>
          <w:szCs w:val="26"/>
        </w:rPr>
      </w:pPr>
    </w:p>
    <w:p w14:paraId="61A70602">
      <w:pPr>
        <w:pStyle w:val="2"/>
        <w:rPr>
          <w:color w:val="000000"/>
          <w:sz w:val="26"/>
          <w:szCs w:val="26"/>
        </w:rPr>
      </w:pPr>
    </w:p>
    <w:p w14:paraId="5F9E71AC">
      <w:pPr>
        <w:pStyle w:val="2"/>
        <w:rPr>
          <w:color w:val="000000"/>
          <w:sz w:val="26"/>
          <w:szCs w:val="26"/>
        </w:rPr>
      </w:pPr>
    </w:p>
    <w:p w14:paraId="5C7BCE24">
      <w:pPr>
        <w:pStyle w:val="2"/>
        <w:rPr>
          <w:color w:val="000000"/>
          <w:sz w:val="26"/>
          <w:szCs w:val="26"/>
        </w:rPr>
      </w:pPr>
    </w:p>
    <w:p w14:paraId="14A0222F">
      <w:pPr>
        <w:pStyle w:val="2"/>
        <w:rPr>
          <w:color w:val="000000"/>
          <w:sz w:val="26"/>
          <w:szCs w:val="26"/>
        </w:rPr>
      </w:pPr>
    </w:p>
    <w:p w14:paraId="5E4C1627">
      <w:pPr>
        <w:pStyle w:val="2"/>
        <w:rPr>
          <w:color w:val="000000"/>
          <w:sz w:val="26"/>
          <w:szCs w:val="26"/>
        </w:rPr>
      </w:pPr>
    </w:p>
    <w:p w14:paraId="27FAAF09">
      <w:pPr>
        <w:pStyle w:val="2"/>
        <w:rPr>
          <w:color w:val="000000"/>
          <w:sz w:val="26"/>
          <w:szCs w:val="26"/>
        </w:rPr>
      </w:pPr>
    </w:p>
    <w:p w14:paraId="5719B014">
      <w:pPr>
        <w:pStyle w:val="2"/>
        <w:rPr>
          <w:color w:val="000000"/>
          <w:sz w:val="26"/>
          <w:szCs w:val="26"/>
        </w:rPr>
      </w:pPr>
    </w:p>
    <w:p w14:paraId="0F84D7DE">
      <w:pPr>
        <w:pStyle w:val="2"/>
        <w:rPr>
          <w:color w:val="000000"/>
          <w:sz w:val="26"/>
          <w:szCs w:val="26"/>
        </w:rPr>
      </w:pPr>
    </w:p>
    <w:p w14:paraId="765A2900">
      <w:pPr>
        <w:pStyle w:val="2"/>
        <w:rPr>
          <w:color w:val="000000"/>
          <w:sz w:val="26"/>
          <w:szCs w:val="26"/>
        </w:rPr>
      </w:pPr>
    </w:p>
    <w:p w14:paraId="7BE3DE88">
      <w:pPr>
        <w:pStyle w:val="2"/>
        <w:rPr>
          <w:color w:val="000000"/>
          <w:sz w:val="26"/>
          <w:szCs w:val="26"/>
        </w:rPr>
      </w:pPr>
    </w:p>
    <w:p w14:paraId="6FDCF912">
      <w:pPr>
        <w:pStyle w:val="2"/>
        <w:rPr>
          <w:color w:val="000000"/>
          <w:sz w:val="26"/>
          <w:szCs w:val="26"/>
        </w:rPr>
      </w:pPr>
    </w:p>
    <w:p w14:paraId="0B4C1683">
      <w:pPr>
        <w:pStyle w:val="2"/>
        <w:rPr>
          <w:color w:val="000000"/>
          <w:sz w:val="26"/>
          <w:szCs w:val="26"/>
        </w:rPr>
      </w:pPr>
      <w:bookmarkStart w:id="98" w:name="_Toc97"/>
      <w:r>
        <w:rPr>
          <w:color w:val="000000"/>
          <w:sz w:val="26"/>
          <w:szCs w:val="26"/>
          <w:lang w:val="en-US"/>
        </w:rPr>
        <w:t xml:space="preserve">Table 6. Presidential Lodge Nsukka Campus </w:t>
      </w:r>
      <w:bookmarkEnd w:id="98"/>
    </w:p>
    <w:p w14:paraId="01085385">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tbl>
      <w:tblPr>
        <w:tblStyle w:val="6"/>
        <w:tblW w:w="9570" w:type="dxa"/>
        <w:tblInd w:w="108" w:type="dxa"/>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Layout w:type="fixed"/>
        <w:tblCellMar>
          <w:top w:w="0" w:type="dxa"/>
          <w:left w:w="108" w:type="dxa"/>
          <w:bottom w:w="0" w:type="dxa"/>
          <w:right w:w="108" w:type="dxa"/>
        </w:tblCellMar>
      </w:tblPr>
      <w:tblGrid>
        <w:gridCol w:w="1378"/>
        <w:gridCol w:w="2438"/>
        <w:gridCol w:w="1178"/>
        <w:gridCol w:w="2378"/>
        <w:gridCol w:w="2198"/>
      </w:tblGrid>
      <w:tr w14:paraId="180E64EF">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PrEx>
        <w:trPr>
          <w:trHeight w:val="529" w:hRule="atLeast"/>
        </w:trPr>
        <w:tc>
          <w:tcPr>
            <w:tcW w:w="1378" w:type="dxa"/>
            <w:tcBorders>
              <w:top w:val="nil"/>
              <w:left w:val="nil"/>
              <w:bottom w:val="dotted" w:color="919191" w:sz="6" w:space="0"/>
              <w:right w:val="single" w:color="919191" w:sz="2" w:space="0"/>
            </w:tcBorders>
            <w:tcMar>
              <w:top w:w="54" w:type="dxa"/>
              <w:left w:w="54" w:type="dxa"/>
              <w:bottom w:w="54" w:type="dxa"/>
              <w:right w:w="54" w:type="dxa"/>
            </w:tcMar>
          </w:tcPr>
          <w:p w14:paraId="3778C413">
            <w:pPr>
              <w:pStyle w:val="3"/>
            </w:pPr>
            <w:r>
              <w:rPr>
                <w:rFonts w:ascii="Helvetica Neue" w:hAnsi="Helvetica Neue"/>
                <w:b/>
                <w:bCs/>
              </w:rPr>
              <w:t>Type</w:t>
            </w:r>
          </w:p>
        </w:tc>
        <w:tc>
          <w:tcPr>
            <w:tcW w:w="2438" w:type="dxa"/>
            <w:tcBorders>
              <w:top w:val="nil"/>
              <w:left w:val="single" w:color="919191" w:sz="2" w:space="0"/>
              <w:bottom w:val="dotted" w:color="919191" w:sz="6" w:space="0"/>
              <w:right w:val="single" w:color="919191" w:sz="2" w:space="0"/>
            </w:tcBorders>
            <w:tcMar>
              <w:top w:w="54" w:type="dxa"/>
              <w:left w:w="54" w:type="dxa"/>
              <w:bottom w:w="54" w:type="dxa"/>
              <w:right w:w="54" w:type="dxa"/>
            </w:tcMar>
          </w:tcPr>
          <w:p w14:paraId="2F06CD91">
            <w:pPr>
              <w:pStyle w:val="3"/>
            </w:pPr>
            <w:r>
              <w:rPr>
                <w:rFonts w:ascii="Helvetica Neue" w:hAnsi="Helvetica Neue"/>
                <w:b/>
                <w:bCs/>
              </w:rPr>
              <w:t>Existing Facilities</w:t>
            </w:r>
          </w:p>
        </w:tc>
        <w:tc>
          <w:tcPr>
            <w:tcW w:w="1178" w:type="dxa"/>
            <w:tcBorders>
              <w:top w:val="nil"/>
              <w:left w:val="single" w:color="919191" w:sz="2" w:space="0"/>
              <w:bottom w:val="dotted" w:color="919191" w:sz="6" w:space="0"/>
              <w:right w:val="single" w:color="919191" w:sz="2" w:space="0"/>
            </w:tcBorders>
            <w:tcMar>
              <w:top w:w="54" w:type="dxa"/>
              <w:left w:w="54" w:type="dxa"/>
              <w:bottom w:w="54" w:type="dxa"/>
              <w:right w:w="54" w:type="dxa"/>
            </w:tcMar>
          </w:tcPr>
          <w:p w14:paraId="33090F9D">
            <w:pPr>
              <w:pStyle w:val="3"/>
            </w:pPr>
            <w:r>
              <w:rPr>
                <w:rFonts w:ascii="Helvetica Neue" w:hAnsi="Helvetica Neue"/>
                <w:b/>
                <w:bCs/>
              </w:rPr>
              <w:t>Tentative PPP Model</w:t>
            </w:r>
          </w:p>
        </w:tc>
        <w:tc>
          <w:tcPr>
            <w:tcW w:w="2378" w:type="dxa"/>
            <w:tcBorders>
              <w:top w:val="nil"/>
              <w:left w:val="single" w:color="919191" w:sz="2" w:space="0"/>
              <w:bottom w:val="dotted" w:color="919191" w:sz="6" w:space="0"/>
              <w:right w:val="single" w:color="919191" w:sz="2" w:space="0"/>
            </w:tcBorders>
            <w:tcMar>
              <w:top w:w="54" w:type="dxa"/>
              <w:left w:w="54" w:type="dxa"/>
              <w:bottom w:w="54" w:type="dxa"/>
              <w:right w:w="54" w:type="dxa"/>
            </w:tcMar>
          </w:tcPr>
          <w:p w14:paraId="7DA8CF00">
            <w:pPr>
              <w:pStyle w:val="3"/>
            </w:pPr>
            <w:r>
              <w:rPr>
                <w:rFonts w:ascii="Helvetica Neue" w:hAnsi="Helvetica Neue"/>
                <w:b/>
                <w:bCs/>
              </w:rPr>
              <w:t>Reason</w:t>
            </w:r>
          </w:p>
        </w:tc>
        <w:tc>
          <w:tcPr>
            <w:tcW w:w="2198" w:type="dxa"/>
            <w:tcBorders>
              <w:top w:val="nil"/>
              <w:left w:val="single" w:color="919191" w:sz="2" w:space="0"/>
              <w:bottom w:val="dotted" w:color="919191" w:sz="6" w:space="0"/>
              <w:right w:val="nil"/>
            </w:tcBorders>
            <w:tcMar>
              <w:top w:w="54" w:type="dxa"/>
              <w:left w:w="54" w:type="dxa"/>
              <w:bottom w:w="54" w:type="dxa"/>
              <w:right w:w="54" w:type="dxa"/>
            </w:tcMar>
          </w:tcPr>
          <w:p w14:paraId="501A3274">
            <w:pPr>
              <w:pStyle w:val="3"/>
            </w:pPr>
            <w:r>
              <w:rPr>
                <w:rFonts w:ascii="Helvetica Neue" w:hAnsi="Helvetica Neue"/>
                <w:b/>
                <w:bCs/>
              </w:rPr>
              <w:t>Duties of Investor</w:t>
            </w:r>
          </w:p>
        </w:tc>
      </w:tr>
      <w:tr w14:paraId="3748D44D">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6018" w:hRule="atLeast"/>
        </w:trPr>
        <w:tc>
          <w:tcPr>
            <w:tcW w:w="1378" w:type="dxa"/>
            <w:tcBorders>
              <w:top w:val="dotted" w:color="919191" w:sz="6" w:space="0"/>
              <w:left w:val="nil"/>
              <w:bottom w:val="nil"/>
              <w:right w:val="single" w:color="919191" w:sz="2" w:space="0"/>
            </w:tcBorders>
            <w:shd w:val="clear" w:color="auto" w:fill="EEEEEE"/>
            <w:tcMar>
              <w:top w:w="54" w:type="dxa"/>
              <w:left w:w="54" w:type="dxa"/>
              <w:bottom w:w="54" w:type="dxa"/>
              <w:right w:w="54" w:type="dxa"/>
            </w:tcMar>
          </w:tcPr>
          <w:p w14:paraId="7B42E1AA">
            <w:pPr>
              <w:pStyle w:val="3"/>
            </w:pPr>
            <w:r>
              <w:rPr>
                <w:rFonts w:eastAsia="Arial Unicode MS" w:cs="Arial Unicode MS"/>
              </w:rPr>
              <w:t>Presidential Lodge</w:t>
            </w:r>
          </w:p>
          <w:p w14:paraId="4FD8237A">
            <w:pPr>
              <w:pStyle w:val="3"/>
            </w:pPr>
            <w:r>
              <w:rPr>
                <w:rFonts w:eastAsia="Arial Unicode MS" w:cs="Arial Unicode MS"/>
              </w:rPr>
              <w:t>(Staff strength -19)</w:t>
            </w:r>
          </w:p>
        </w:tc>
        <w:tc>
          <w:tcPr>
            <w:tcW w:w="2438" w:type="dxa"/>
            <w:tcBorders>
              <w:top w:val="dotted" w:color="919191" w:sz="6" w:space="0"/>
              <w:left w:val="single" w:color="919191" w:sz="2" w:space="0"/>
              <w:bottom w:val="nil"/>
              <w:right w:val="single" w:color="919191" w:sz="2" w:space="0"/>
            </w:tcBorders>
            <w:shd w:val="clear" w:color="auto" w:fill="EEEEEE"/>
            <w:tcMar>
              <w:top w:w="54" w:type="dxa"/>
              <w:left w:w="54" w:type="dxa"/>
              <w:bottom w:w="54" w:type="dxa"/>
              <w:right w:w="54" w:type="dxa"/>
            </w:tcMar>
          </w:tcPr>
          <w:p w14:paraId="31D5EEBD">
            <w:pPr>
              <w:pStyle w:val="3"/>
            </w:pPr>
            <w:r>
              <w:rPr>
                <w:rFonts w:eastAsia="Arial Unicode MS" w:cs="Arial Unicode MS"/>
              </w:rPr>
              <w:t>-3 No. one-storey buildings (25 guest rooms + reception)</w:t>
            </w:r>
          </w:p>
          <w:p w14:paraId="7734A651">
            <w:pPr>
              <w:pStyle w:val="3"/>
            </w:pPr>
            <w:r>
              <w:rPr>
                <w:rFonts w:eastAsia="Arial Unicode MS" w:cs="Arial Unicode MS"/>
              </w:rPr>
              <w:t>-1 Bungalow</w:t>
            </w:r>
          </w:p>
          <w:p w14:paraId="39DD7394">
            <w:pPr>
              <w:pStyle w:val="3"/>
            </w:pPr>
            <w:r>
              <w:rPr>
                <w:rFonts w:eastAsia="Arial Unicode MS" w:cs="Arial Unicode MS"/>
              </w:rPr>
              <w:t>- 1 Gym house</w:t>
            </w:r>
          </w:p>
          <w:p w14:paraId="7FA7BBDE">
            <w:pPr>
              <w:pStyle w:val="3"/>
            </w:pPr>
            <w:r>
              <w:rPr>
                <w:rFonts w:eastAsia="Arial Unicode MS" w:cs="Arial Unicode MS"/>
              </w:rPr>
              <w:t>- Restaurant</w:t>
            </w:r>
          </w:p>
          <w:p w14:paraId="60DF424F">
            <w:pPr>
              <w:pStyle w:val="3"/>
            </w:pPr>
            <w:r>
              <w:rPr>
                <w:rFonts w:eastAsia="Arial Unicode MS" w:cs="Arial Unicode MS"/>
              </w:rPr>
              <w:t>-Bar</w:t>
            </w:r>
          </w:p>
          <w:p w14:paraId="6FFFCAE8">
            <w:pPr>
              <w:pStyle w:val="3"/>
            </w:pPr>
            <w:r>
              <w:rPr>
                <w:rFonts w:eastAsia="Arial Unicode MS" w:cs="Arial Unicode MS"/>
              </w:rPr>
              <w:t xml:space="preserve">-well-equipped Kitchen </w:t>
            </w:r>
          </w:p>
          <w:p w14:paraId="431809F0">
            <w:pPr>
              <w:pStyle w:val="3"/>
            </w:pPr>
            <w:r>
              <w:rPr>
                <w:rFonts w:eastAsia="Arial Unicode MS" w:cs="Arial Unicode MS"/>
              </w:rPr>
              <w:t>-1 stand-by generator (500 KVA)</w:t>
            </w:r>
          </w:p>
          <w:p w14:paraId="0C4205FF">
            <w:pPr>
              <w:pStyle w:val="3"/>
            </w:pPr>
            <w:r>
              <w:rPr>
                <w:rFonts w:eastAsia="Arial Unicode MS" w:cs="Arial Unicode MS"/>
              </w:rPr>
              <w:t>-Laundry/Drycleaning</w:t>
            </w:r>
          </w:p>
          <w:p w14:paraId="5BECB7E4">
            <w:pPr>
              <w:pStyle w:val="3"/>
            </w:pPr>
            <w:r>
              <w:rPr>
                <w:rFonts w:eastAsia="Arial Unicode MS" w:cs="Arial Unicode MS"/>
              </w:rPr>
              <w:t>- Water sourced from private vendors</w:t>
            </w:r>
          </w:p>
        </w:tc>
        <w:tc>
          <w:tcPr>
            <w:tcW w:w="1178" w:type="dxa"/>
            <w:tcBorders>
              <w:top w:val="dotted" w:color="919191" w:sz="6" w:space="0"/>
              <w:left w:val="single" w:color="919191" w:sz="2" w:space="0"/>
              <w:bottom w:val="nil"/>
              <w:right w:val="single" w:color="919191" w:sz="2" w:space="0"/>
            </w:tcBorders>
            <w:shd w:val="clear" w:color="auto" w:fill="EEEEEE"/>
            <w:tcMar>
              <w:top w:w="54" w:type="dxa"/>
              <w:left w:w="54" w:type="dxa"/>
              <w:bottom w:w="54" w:type="dxa"/>
              <w:right w:w="54" w:type="dxa"/>
            </w:tcMar>
          </w:tcPr>
          <w:p w14:paraId="23577EC5">
            <w:pPr>
              <w:pStyle w:val="3"/>
            </w:pPr>
            <w:r>
              <w:rPr>
                <w:rFonts w:eastAsia="Arial Unicode MS" w:cs="Arial Unicode MS"/>
              </w:rPr>
              <w:t>Lease Contract for 10 years subject to renewal</w:t>
            </w:r>
          </w:p>
        </w:tc>
        <w:tc>
          <w:tcPr>
            <w:tcW w:w="2378" w:type="dxa"/>
            <w:tcBorders>
              <w:top w:val="dotted" w:color="919191" w:sz="6" w:space="0"/>
              <w:left w:val="single" w:color="919191" w:sz="2" w:space="0"/>
              <w:bottom w:val="nil"/>
              <w:right w:val="single" w:color="919191" w:sz="2" w:space="0"/>
            </w:tcBorders>
            <w:shd w:val="clear" w:color="auto" w:fill="EEEEEE"/>
            <w:tcMar>
              <w:top w:w="54" w:type="dxa"/>
              <w:left w:w="54" w:type="dxa"/>
              <w:bottom w:w="54" w:type="dxa"/>
              <w:right w:w="54" w:type="dxa"/>
            </w:tcMar>
          </w:tcPr>
          <w:p w14:paraId="6EA71658">
            <w:pPr>
              <w:pStyle w:val="3"/>
            </w:pPr>
            <w:r>
              <w:rPr>
                <w:rFonts w:eastAsia="Arial Unicode MS" w:cs="Arial Unicode MS"/>
              </w:rPr>
              <w:t>The PPP investor will ensure world class service delivery and prompt maintenance of facilities as well as profitability of the business.</w:t>
            </w:r>
          </w:p>
        </w:tc>
        <w:tc>
          <w:tcPr>
            <w:tcW w:w="2198" w:type="dxa"/>
            <w:tcBorders>
              <w:top w:val="dotted" w:color="919191" w:sz="6" w:space="0"/>
              <w:left w:val="single" w:color="919191" w:sz="2" w:space="0"/>
              <w:bottom w:val="nil"/>
              <w:right w:val="nil"/>
            </w:tcBorders>
            <w:shd w:val="clear" w:color="auto" w:fill="EEEEEE"/>
            <w:tcMar>
              <w:top w:w="54" w:type="dxa"/>
              <w:left w:w="54" w:type="dxa"/>
              <w:bottom w:w="54" w:type="dxa"/>
              <w:right w:w="54" w:type="dxa"/>
            </w:tcMar>
          </w:tcPr>
          <w:p w14:paraId="1B111273">
            <w:pPr>
              <w:pStyle w:val="3"/>
            </w:pPr>
            <w:r>
              <w:rPr>
                <w:rFonts w:eastAsia="Arial Unicode MS" w:cs="Arial Unicode MS"/>
              </w:rPr>
              <w:t>-Renovation and repairs (WCs, floor tiles, ACs, Water heaters, painting, etc)</w:t>
            </w:r>
          </w:p>
          <w:p w14:paraId="78FD8F94">
            <w:pPr>
              <w:pStyle w:val="3"/>
            </w:pPr>
            <w:r>
              <w:rPr>
                <w:rFonts w:eastAsia="Arial Unicode MS" w:cs="Arial Unicode MS"/>
              </w:rPr>
              <w:t>-provision of water</w:t>
            </w:r>
          </w:p>
          <w:p w14:paraId="327A1DBF">
            <w:pPr>
              <w:pStyle w:val="3"/>
            </w:pPr>
            <w:r>
              <w:rPr>
                <w:rFonts w:eastAsia="Arial Unicode MS" w:cs="Arial Unicode MS"/>
              </w:rPr>
              <w:t>-Sanitation (cleaning of rooms, common areas, conveniences, hotel environment and refuse disposal)</w:t>
            </w:r>
          </w:p>
          <w:p w14:paraId="11D40154">
            <w:pPr>
              <w:pStyle w:val="3"/>
            </w:pPr>
            <w:r>
              <w:rPr>
                <w:rFonts w:eastAsia="Arial Unicode MS" w:cs="Arial Unicode MS"/>
              </w:rPr>
              <w:t>-Maintenance (electrical, plumbing, sewage, etc)</w:t>
            </w:r>
          </w:p>
          <w:p w14:paraId="0D43BE4C">
            <w:pPr>
              <w:pStyle w:val="3"/>
            </w:pPr>
            <w:r>
              <w:rPr>
                <w:rFonts w:eastAsia="Arial Unicode MS" w:cs="Arial Unicode MS"/>
              </w:rPr>
              <w:t>-Operate and manage for 10 years subject to renewal</w:t>
            </w:r>
          </w:p>
          <w:p w14:paraId="7AE827B9">
            <w:pPr>
              <w:pStyle w:val="3"/>
            </w:pPr>
            <w:r>
              <w:rPr>
                <w:rFonts w:eastAsia="Arial Unicode MS" w:cs="Arial Unicode MS"/>
              </w:rPr>
              <w:t>-Make agreed lease payments to the University</w:t>
            </w:r>
          </w:p>
        </w:tc>
      </w:tr>
    </w:tbl>
    <w:p w14:paraId="00055DA0">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b/>
          <w:bCs/>
          <w:sz w:val="24"/>
          <w:szCs w:val="24"/>
        </w:rPr>
      </w:pPr>
    </w:p>
    <w:p w14:paraId="68E579D2">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b/>
          <w:bCs/>
          <w:sz w:val="24"/>
          <w:szCs w:val="24"/>
        </w:rPr>
      </w:pPr>
    </w:p>
    <w:p w14:paraId="467F5E0F">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b/>
          <w:bCs/>
          <w:sz w:val="24"/>
          <w:szCs w:val="24"/>
        </w:rPr>
      </w:pPr>
    </w:p>
    <w:p w14:paraId="1F4834F3">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b/>
          <w:bCs/>
          <w:sz w:val="24"/>
          <w:szCs w:val="24"/>
        </w:rPr>
      </w:pPr>
    </w:p>
    <w:p w14:paraId="5A44CD51">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b/>
          <w:bCs/>
          <w:sz w:val="24"/>
          <w:szCs w:val="24"/>
        </w:rPr>
      </w:pPr>
    </w:p>
    <w:p w14:paraId="1C857E6F">
      <w:pPr>
        <w:pStyle w:val="2"/>
        <w:rPr>
          <w:color w:val="000000"/>
          <w:sz w:val="24"/>
          <w:szCs w:val="24"/>
        </w:rPr>
      </w:pPr>
      <w:bookmarkStart w:id="99" w:name="_Toc98"/>
      <w:r>
        <w:rPr>
          <w:color w:val="000000"/>
          <w:sz w:val="24"/>
          <w:szCs w:val="24"/>
        </w:rPr>
        <w:t>AGRICULTURE SECTOR</w:t>
      </w:r>
      <w:bookmarkEnd w:id="99"/>
    </w:p>
    <w:p w14:paraId="48503247">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47A5B259">
      <w:pPr>
        <w:pStyle w:val="3"/>
        <w:rPr>
          <w:sz w:val="24"/>
          <w:szCs w:val="24"/>
        </w:rPr>
      </w:pPr>
      <w:r>
        <w:rPr>
          <w:sz w:val="24"/>
          <w:szCs w:val="24"/>
          <w:lang w:val="en-US"/>
        </w:rPr>
        <w:t>UNN has abundant arable land that can be profitably deployed for large scale agricultural production. A PPP arrangement will</w:t>
      </w:r>
    </w:p>
    <w:p w14:paraId="3AB7D108">
      <w:pPr>
        <w:pStyle w:val="3"/>
        <w:rPr>
          <w:sz w:val="24"/>
          <w:szCs w:val="24"/>
        </w:rPr>
      </w:pPr>
      <w:r>
        <w:rPr>
          <w:sz w:val="24"/>
          <w:szCs w:val="24"/>
          <w:lang w:val="en-US"/>
        </w:rPr>
        <w:t>Attract private expertise and capital investment for enhanced productivity</w:t>
      </w:r>
    </w:p>
    <w:p w14:paraId="38DAEB6F">
      <w:pPr>
        <w:pStyle w:val="3"/>
        <w:rPr>
          <w:sz w:val="24"/>
          <w:szCs w:val="24"/>
        </w:rPr>
      </w:pPr>
      <w:r>
        <w:rPr>
          <w:sz w:val="24"/>
          <w:szCs w:val="24"/>
          <w:lang w:val="en-US"/>
        </w:rPr>
        <w:t>Increase efficiency and ensure higher returns to the University</w:t>
      </w:r>
    </w:p>
    <w:p w14:paraId="4186DEC3">
      <w:pPr>
        <w:pStyle w:val="3"/>
        <w:rPr>
          <w:sz w:val="24"/>
          <w:szCs w:val="24"/>
        </w:rPr>
      </w:pPr>
      <w:r>
        <w:rPr>
          <w:sz w:val="24"/>
          <w:szCs w:val="24"/>
          <w:lang w:val="en-US"/>
        </w:rPr>
        <w:t>Improve accountability</w:t>
      </w:r>
    </w:p>
    <w:p w14:paraId="6E1CA5B8">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5C0E7D9A">
      <w:pPr>
        <w:pStyle w:val="2"/>
        <w:rPr>
          <w:color w:val="000000"/>
        </w:rPr>
      </w:pPr>
      <w:bookmarkStart w:id="100" w:name="_Toc99"/>
      <w:r>
        <w:rPr>
          <w:color w:val="000000"/>
          <w:lang w:val="fr-FR"/>
        </w:rPr>
        <w:t xml:space="preserve">Table </w:t>
      </w:r>
      <w:r>
        <w:rPr>
          <w:color w:val="000000"/>
          <w:lang w:val="en-US"/>
        </w:rPr>
        <w:t>7</w:t>
      </w:r>
      <w:r>
        <w:rPr>
          <w:color w:val="000000"/>
        </w:rPr>
        <w:t xml:space="preserve"> – AGRICULTURE</w:t>
      </w:r>
      <w:bookmarkEnd w:id="100"/>
    </w:p>
    <w:tbl>
      <w:tblPr>
        <w:tblStyle w:val="6"/>
        <w:tblW w:w="9570" w:type="dxa"/>
        <w:tblInd w:w="108" w:type="dxa"/>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Layout w:type="fixed"/>
        <w:tblCellMar>
          <w:top w:w="0" w:type="dxa"/>
          <w:left w:w="108" w:type="dxa"/>
          <w:bottom w:w="0" w:type="dxa"/>
          <w:right w:w="108" w:type="dxa"/>
        </w:tblCellMar>
      </w:tblPr>
      <w:tblGrid>
        <w:gridCol w:w="1378"/>
        <w:gridCol w:w="2438"/>
        <w:gridCol w:w="1178"/>
        <w:gridCol w:w="2378"/>
        <w:gridCol w:w="2198"/>
      </w:tblGrid>
      <w:tr w14:paraId="0E31630B">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529" w:hRule="atLeast"/>
        </w:trPr>
        <w:tc>
          <w:tcPr>
            <w:tcW w:w="1378" w:type="dxa"/>
            <w:tcBorders>
              <w:top w:val="nil"/>
              <w:left w:val="nil"/>
              <w:bottom w:val="dotted" w:color="919191" w:sz="6" w:space="0"/>
              <w:right w:val="single" w:color="919191" w:sz="2" w:space="0"/>
            </w:tcBorders>
            <w:tcMar>
              <w:top w:w="54" w:type="dxa"/>
              <w:left w:w="54" w:type="dxa"/>
              <w:bottom w:w="54" w:type="dxa"/>
              <w:right w:w="54" w:type="dxa"/>
            </w:tcMar>
          </w:tcPr>
          <w:p w14:paraId="32F55D3B">
            <w:pPr>
              <w:pStyle w:val="3"/>
            </w:pPr>
            <w:r>
              <w:rPr>
                <w:rFonts w:ascii="Helvetica Neue" w:hAnsi="Helvetica Neue"/>
                <w:b/>
                <w:bCs/>
              </w:rPr>
              <w:t>Type</w:t>
            </w:r>
          </w:p>
        </w:tc>
        <w:tc>
          <w:tcPr>
            <w:tcW w:w="2438" w:type="dxa"/>
            <w:tcBorders>
              <w:top w:val="nil"/>
              <w:left w:val="single" w:color="919191" w:sz="2" w:space="0"/>
              <w:bottom w:val="dotted" w:color="919191" w:sz="6" w:space="0"/>
              <w:right w:val="single" w:color="919191" w:sz="2" w:space="0"/>
            </w:tcBorders>
            <w:tcMar>
              <w:top w:w="54" w:type="dxa"/>
              <w:left w:w="54" w:type="dxa"/>
              <w:bottom w:w="54" w:type="dxa"/>
              <w:right w:w="54" w:type="dxa"/>
            </w:tcMar>
          </w:tcPr>
          <w:p w14:paraId="0A066393">
            <w:pPr>
              <w:pStyle w:val="3"/>
            </w:pPr>
            <w:r>
              <w:rPr>
                <w:rFonts w:ascii="Helvetica Neue" w:hAnsi="Helvetica Neue"/>
                <w:b/>
                <w:bCs/>
              </w:rPr>
              <w:t>Existing Facilities</w:t>
            </w:r>
          </w:p>
        </w:tc>
        <w:tc>
          <w:tcPr>
            <w:tcW w:w="1178" w:type="dxa"/>
            <w:tcBorders>
              <w:top w:val="nil"/>
              <w:left w:val="single" w:color="919191" w:sz="2" w:space="0"/>
              <w:bottom w:val="dotted" w:color="919191" w:sz="6" w:space="0"/>
              <w:right w:val="single" w:color="919191" w:sz="2" w:space="0"/>
            </w:tcBorders>
            <w:tcMar>
              <w:top w:w="54" w:type="dxa"/>
              <w:left w:w="54" w:type="dxa"/>
              <w:bottom w:w="54" w:type="dxa"/>
              <w:right w:w="54" w:type="dxa"/>
            </w:tcMar>
          </w:tcPr>
          <w:p w14:paraId="3226A84A">
            <w:pPr>
              <w:pStyle w:val="3"/>
            </w:pPr>
            <w:r>
              <w:rPr>
                <w:rFonts w:ascii="Helvetica Neue" w:hAnsi="Helvetica Neue"/>
                <w:b/>
                <w:bCs/>
              </w:rPr>
              <w:t>Tentative PPP Model</w:t>
            </w:r>
          </w:p>
        </w:tc>
        <w:tc>
          <w:tcPr>
            <w:tcW w:w="2378" w:type="dxa"/>
            <w:tcBorders>
              <w:top w:val="nil"/>
              <w:left w:val="single" w:color="919191" w:sz="2" w:space="0"/>
              <w:bottom w:val="dotted" w:color="919191" w:sz="6" w:space="0"/>
              <w:right w:val="single" w:color="919191" w:sz="2" w:space="0"/>
            </w:tcBorders>
            <w:tcMar>
              <w:top w:w="54" w:type="dxa"/>
              <w:left w:w="54" w:type="dxa"/>
              <w:bottom w:w="54" w:type="dxa"/>
              <w:right w:w="54" w:type="dxa"/>
            </w:tcMar>
          </w:tcPr>
          <w:p w14:paraId="1012E6F8">
            <w:pPr>
              <w:pStyle w:val="3"/>
            </w:pPr>
            <w:r>
              <w:rPr>
                <w:rFonts w:ascii="Helvetica Neue" w:hAnsi="Helvetica Neue"/>
                <w:b/>
                <w:bCs/>
              </w:rPr>
              <w:t>Reason</w:t>
            </w:r>
          </w:p>
        </w:tc>
        <w:tc>
          <w:tcPr>
            <w:tcW w:w="2198" w:type="dxa"/>
            <w:tcBorders>
              <w:top w:val="nil"/>
              <w:left w:val="single" w:color="919191" w:sz="2" w:space="0"/>
              <w:bottom w:val="dotted" w:color="919191" w:sz="6" w:space="0"/>
              <w:right w:val="nil"/>
            </w:tcBorders>
            <w:tcMar>
              <w:top w:w="54" w:type="dxa"/>
              <w:left w:w="54" w:type="dxa"/>
              <w:bottom w:w="54" w:type="dxa"/>
              <w:right w:w="54" w:type="dxa"/>
            </w:tcMar>
          </w:tcPr>
          <w:p w14:paraId="40336188">
            <w:pPr>
              <w:pStyle w:val="3"/>
            </w:pPr>
            <w:r>
              <w:rPr>
                <w:rFonts w:ascii="Helvetica Neue" w:hAnsi="Helvetica Neue"/>
                <w:b/>
                <w:bCs/>
              </w:rPr>
              <w:t>Duties of Investor</w:t>
            </w:r>
          </w:p>
        </w:tc>
      </w:tr>
      <w:tr w14:paraId="3AD1016B">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937" w:hRule="atLeast"/>
        </w:trPr>
        <w:tc>
          <w:tcPr>
            <w:tcW w:w="1378" w:type="dxa"/>
            <w:tcBorders>
              <w:top w:val="dotted" w:color="919191" w:sz="6" w:space="0"/>
              <w:left w:val="nil"/>
              <w:bottom w:val="nil"/>
              <w:right w:val="single" w:color="919191" w:sz="2" w:space="0"/>
            </w:tcBorders>
            <w:shd w:val="clear" w:color="auto" w:fill="EEEEEE"/>
            <w:tcMar>
              <w:top w:w="54" w:type="dxa"/>
              <w:left w:w="54" w:type="dxa"/>
              <w:bottom w:w="54" w:type="dxa"/>
              <w:right w:w="54" w:type="dxa"/>
            </w:tcMar>
          </w:tcPr>
          <w:p w14:paraId="17B15F29">
            <w:pPr>
              <w:pStyle w:val="3"/>
            </w:pPr>
            <w:r>
              <w:rPr>
                <w:rFonts w:eastAsia="Arial Unicode MS" w:cs="Arial Unicode MS"/>
              </w:rPr>
              <w:t>Agriculture</w:t>
            </w:r>
          </w:p>
        </w:tc>
        <w:tc>
          <w:tcPr>
            <w:tcW w:w="2438" w:type="dxa"/>
            <w:tcBorders>
              <w:top w:val="dotted" w:color="919191" w:sz="6" w:space="0"/>
              <w:left w:val="single" w:color="919191" w:sz="2" w:space="0"/>
              <w:bottom w:val="nil"/>
              <w:right w:val="single" w:color="919191" w:sz="2" w:space="0"/>
            </w:tcBorders>
            <w:shd w:val="clear" w:color="auto" w:fill="EEEEEE"/>
            <w:tcMar>
              <w:top w:w="54" w:type="dxa"/>
              <w:left w:w="54" w:type="dxa"/>
              <w:bottom w:w="54" w:type="dxa"/>
              <w:right w:w="54" w:type="dxa"/>
            </w:tcMar>
          </w:tcPr>
          <w:p w14:paraId="0A9C6A49">
            <w:pPr>
              <w:pStyle w:val="3"/>
            </w:pPr>
            <w:r>
              <w:rPr>
                <w:rFonts w:eastAsia="Arial Unicode MS" w:cs="Arial Unicode MS"/>
              </w:rPr>
              <w:t>-Abundant arable land</w:t>
            </w:r>
          </w:p>
          <w:p w14:paraId="2DA62373">
            <w:pPr>
              <w:pStyle w:val="3"/>
            </w:pPr>
            <w:r>
              <w:rPr>
                <w:rFonts w:eastAsia="Arial Unicode MS" w:cs="Arial Unicode MS"/>
              </w:rPr>
              <w:t>- 3 Hectares of Horticultural arms (cucumber, water melon, tomatoes)</w:t>
            </w:r>
          </w:p>
          <w:p w14:paraId="59AABDB4">
            <w:pPr>
              <w:pStyle w:val="3"/>
            </w:pPr>
            <w:r>
              <w:rPr>
                <w:rFonts w:eastAsia="Arial Unicode MS" w:cs="Arial Unicode MS"/>
              </w:rPr>
              <w:t>-7 poultry Pens</w:t>
            </w:r>
          </w:p>
          <w:p w14:paraId="063C94CF">
            <w:pPr>
              <w:pStyle w:val="3"/>
            </w:pPr>
            <w:r>
              <w:rPr>
                <w:rFonts w:eastAsia="Arial Unicode MS" w:cs="Arial Unicode MS"/>
              </w:rPr>
              <w:t>-45 piggery pens</w:t>
            </w:r>
          </w:p>
          <w:p w14:paraId="5D258AAF">
            <w:pPr>
              <w:pStyle w:val="3"/>
            </w:pPr>
            <w:r>
              <w:rPr>
                <w:rFonts w:eastAsia="Arial Unicode MS" w:cs="Arial Unicode MS"/>
              </w:rPr>
              <w:t>- 1 functional Borehole</w:t>
            </w:r>
          </w:p>
          <w:p w14:paraId="04465257">
            <w:pPr>
              <w:pStyle w:val="3"/>
            </w:pPr>
            <w:r>
              <w:rPr>
                <w:rFonts w:eastAsia="Arial Unicode MS" w:cs="Arial Unicode MS"/>
              </w:rPr>
              <w:t>- 1 Feed mill (vandalized)</w:t>
            </w:r>
          </w:p>
        </w:tc>
        <w:tc>
          <w:tcPr>
            <w:tcW w:w="1178" w:type="dxa"/>
            <w:tcBorders>
              <w:top w:val="dotted" w:color="919191" w:sz="6" w:space="0"/>
              <w:left w:val="single" w:color="919191" w:sz="2" w:space="0"/>
              <w:bottom w:val="nil"/>
              <w:right w:val="single" w:color="919191" w:sz="2" w:space="0"/>
            </w:tcBorders>
            <w:shd w:val="clear" w:color="auto" w:fill="EEEEEE"/>
            <w:tcMar>
              <w:top w:w="54" w:type="dxa"/>
              <w:left w:w="54" w:type="dxa"/>
              <w:bottom w:w="54" w:type="dxa"/>
              <w:right w:w="54" w:type="dxa"/>
            </w:tcMar>
          </w:tcPr>
          <w:p w14:paraId="18D18343">
            <w:pPr>
              <w:pStyle w:val="3"/>
            </w:pPr>
            <w:r>
              <w:rPr>
                <w:rFonts w:eastAsia="Arial Unicode MS" w:cs="Arial Unicode MS"/>
              </w:rPr>
              <w:t>Lease Contract for 10 years subject to renewal</w:t>
            </w:r>
          </w:p>
        </w:tc>
        <w:tc>
          <w:tcPr>
            <w:tcW w:w="2378" w:type="dxa"/>
            <w:tcBorders>
              <w:top w:val="dotted" w:color="919191" w:sz="6" w:space="0"/>
              <w:left w:val="single" w:color="919191" w:sz="2" w:space="0"/>
              <w:bottom w:val="nil"/>
              <w:right w:val="single" w:color="919191" w:sz="2" w:space="0"/>
            </w:tcBorders>
            <w:shd w:val="clear" w:color="auto" w:fill="EEEEEE"/>
            <w:tcMar>
              <w:top w:w="54" w:type="dxa"/>
              <w:left w:w="54" w:type="dxa"/>
              <w:bottom w:w="54" w:type="dxa"/>
              <w:right w:w="54" w:type="dxa"/>
            </w:tcMar>
          </w:tcPr>
          <w:p w14:paraId="38A568E6">
            <w:pPr>
              <w:pStyle w:val="3"/>
            </w:pPr>
            <w:r>
              <w:rPr>
                <w:rFonts w:eastAsia="Arial Unicode MS" w:cs="Arial Unicode MS"/>
              </w:rPr>
              <w:t>The PPP investor will deploy expertise and capital investment for large scale agricultural production and ensure higher returns to the University.</w:t>
            </w:r>
          </w:p>
        </w:tc>
        <w:tc>
          <w:tcPr>
            <w:tcW w:w="2198" w:type="dxa"/>
            <w:tcBorders>
              <w:top w:val="dotted" w:color="919191" w:sz="6" w:space="0"/>
              <w:left w:val="single" w:color="919191" w:sz="2" w:space="0"/>
              <w:bottom w:val="nil"/>
              <w:right w:val="nil"/>
            </w:tcBorders>
            <w:shd w:val="clear" w:color="auto" w:fill="EEEEEE"/>
            <w:tcMar>
              <w:top w:w="54" w:type="dxa"/>
              <w:left w:w="54" w:type="dxa"/>
              <w:bottom w:w="54" w:type="dxa"/>
              <w:right w:w="54" w:type="dxa"/>
            </w:tcMar>
          </w:tcPr>
          <w:p w14:paraId="3CB604F0">
            <w:pPr>
              <w:pStyle w:val="3"/>
            </w:pPr>
            <w:r>
              <w:rPr>
                <w:rFonts w:eastAsia="Arial Unicode MS" w:cs="Arial Unicode MS"/>
              </w:rPr>
              <w:t>-Provide expertise and capital investment</w:t>
            </w:r>
          </w:p>
          <w:p w14:paraId="2DE84CAC">
            <w:pPr>
              <w:pStyle w:val="3"/>
            </w:pPr>
            <w:r>
              <w:rPr>
                <w:rFonts w:eastAsia="Arial Unicode MS" w:cs="Arial Unicode MS"/>
              </w:rPr>
              <w:t>-Provide necessary facilities (water, electricity, refuse disposal, etc).</w:t>
            </w:r>
          </w:p>
          <w:p w14:paraId="43D22206">
            <w:pPr>
              <w:pStyle w:val="3"/>
            </w:pPr>
            <w:r>
              <w:rPr>
                <w:rFonts w:eastAsia="Arial Unicode MS" w:cs="Arial Unicode MS"/>
              </w:rPr>
              <w:t>-Operate and manage farms for 10 years subject to renewal</w:t>
            </w:r>
          </w:p>
          <w:p w14:paraId="6F701B37">
            <w:pPr>
              <w:pStyle w:val="3"/>
            </w:pPr>
            <w:r>
              <w:rPr>
                <w:rFonts w:eastAsia="Arial Unicode MS" w:cs="Arial Unicode MS"/>
              </w:rPr>
              <w:t>- Make agreed contractual payments to the University</w:t>
            </w:r>
          </w:p>
        </w:tc>
      </w:tr>
    </w:tbl>
    <w:p w14:paraId="7F304A0C">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7A95A8F0">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5A7F05AF">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49647A4E">
      <w:pPr>
        <w:pStyle w:val="2"/>
        <w:rPr>
          <w:color w:val="000000"/>
          <w:sz w:val="24"/>
          <w:szCs w:val="24"/>
        </w:rPr>
      </w:pPr>
      <w:bookmarkStart w:id="101" w:name="_Toc100"/>
      <w:r>
        <w:rPr>
          <w:color w:val="000000"/>
          <w:sz w:val="24"/>
          <w:szCs w:val="24"/>
          <w:lang w:val="de-DE"/>
        </w:rPr>
        <w:t>HEALTH SECTOR</w:t>
      </w:r>
      <w:bookmarkEnd w:id="101"/>
    </w:p>
    <w:p w14:paraId="2EB4D642">
      <w:pPr>
        <w:pStyle w:val="3"/>
        <w:rPr>
          <w:sz w:val="24"/>
          <w:szCs w:val="24"/>
        </w:rPr>
      </w:pPr>
      <w:r>
        <w:rPr>
          <w:sz w:val="24"/>
          <w:szCs w:val="24"/>
          <w:lang w:val="en-US"/>
        </w:rPr>
        <w:t xml:space="preserve">UNN has two Medical Centers (one at Nsukka Campus and one at Enugu Campus). </w:t>
      </w:r>
    </w:p>
    <w:p w14:paraId="6A8C663C">
      <w:pPr>
        <w:pStyle w:val="3"/>
        <w:rPr>
          <w:sz w:val="24"/>
          <w:szCs w:val="24"/>
        </w:rPr>
      </w:pPr>
      <w:r>
        <w:rPr>
          <w:sz w:val="24"/>
          <w:szCs w:val="24"/>
          <w:lang w:val="en-US"/>
        </w:rPr>
        <w:t xml:space="preserve">The Medical Centers are presently operating at sub-optimal level. </w:t>
      </w:r>
    </w:p>
    <w:p w14:paraId="273AF7D8">
      <w:pPr>
        <w:pStyle w:val="3"/>
        <w:rPr>
          <w:sz w:val="24"/>
          <w:szCs w:val="24"/>
        </w:rPr>
      </w:pPr>
      <w:r>
        <w:rPr>
          <w:sz w:val="24"/>
          <w:szCs w:val="24"/>
          <w:lang w:val="en-US"/>
        </w:rPr>
        <w:t>A PPP arrangement will:</w:t>
      </w:r>
    </w:p>
    <w:p w14:paraId="1C42F077">
      <w:pPr>
        <w:pStyle w:val="3"/>
        <w:numPr>
          <w:ilvl w:val="0"/>
          <w:numId w:val="77"/>
        </w:numPr>
        <w:rPr>
          <w:sz w:val="24"/>
          <w:szCs w:val="24"/>
          <w:lang w:val="en-US"/>
        </w:rPr>
      </w:pPr>
      <w:r>
        <w:rPr>
          <w:sz w:val="24"/>
          <w:szCs w:val="24"/>
          <w:lang w:val="en-US"/>
        </w:rPr>
        <w:t>Attract private expertise and capital investment for enhanced service delivery</w:t>
      </w:r>
    </w:p>
    <w:p w14:paraId="4F0FB449">
      <w:pPr>
        <w:pStyle w:val="3"/>
        <w:numPr>
          <w:ilvl w:val="0"/>
          <w:numId w:val="77"/>
        </w:numPr>
        <w:rPr>
          <w:sz w:val="24"/>
          <w:szCs w:val="24"/>
          <w:lang w:val="en-US"/>
        </w:rPr>
      </w:pPr>
      <w:r>
        <w:rPr>
          <w:sz w:val="24"/>
          <w:szCs w:val="24"/>
          <w:lang w:val="en-US"/>
        </w:rPr>
        <w:t>Increase efficiency and ensure higher returns to the University</w:t>
      </w:r>
    </w:p>
    <w:p w14:paraId="2884310F">
      <w:pPr>
        <w:pStyle w:val="3"/>
        <w:numPr>
          <w:ilvl w:val="0"/>
          <w:numId w:val="77"/>
        </w:numPr>
        <w:rPr>
          <w:sz w:val="24"/>
          <w:szCs w:val="24"/>
          <w:lang w:val="en-US"/>
        </w:rPr>
      </w:pPr>
      <w:r>
        <w:rPr>
          <w:sz w:val="24"/>
          <w:szCs w:val="24"/>
          <w:lang w:val="en-US"/>
        </w:rPr>
        <w:t>Improve accountability</w:t>
      </w:r>
    </w:p>
    <w:p w14:paraId="725ACC6F">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2061C32D">
      <w:pPr>
        <w:pStyle w:val="2"/>
        <w:rPr>
          <w:color w:val="000000"/>
          <w:sz w:val="24"/>
          <w:szCs w:val="24"/>
        </w:rPr>
      </w:pPr>
      <w:bookmarkStart w:id="102" w:name="_Toc101"/>
      <w:r>
        <w:rPr>
          <w:color w:val="000000"/>
          <w:sz w:val="24"/>
          <w:szCs w:val="24"/>
          <w:lang w:val="fr-FR"/>
        </w:rPr>
        <w:t xml:space="preserve">Table 9 </w:t>
      </w:r>
      <w:r>
        <w:rPr>
          <w:color w:val="000000"/>
          <w:sz w:val="24"/>
          <w:szCs w:val="24"/>
        </w:rPr>
        <w:t xml:space="preserve">– </w:t>
      </w:r>
      <w:r>
        <w:rPr>
          <w:color w:val="000000"/>
          <w:sz w:val="24"/>
          <w:szCs w:val="24"/>
          <w:lang w:val="en-US"/>
        </w:rPr>
        <w:t>UNN Medical Centers</w:t>
      </w:r>
      <w:bookmarkEnd w:id="102"/>
    </w:p>
    <w:tbl>
      <w:tblPr>
        <w:tblStyle w:val="6"/>
        <w:tblW w:w="9590" w:type="dxa"/>
        <w:tblInd w:w="108" w:type="dxa"/>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Layout w:type="fixed"/>
        <w:tblCellMar>
          <w:top w:w="0" w:type="dxa"/>
          <w:left w:w="108" w:type="dxa"/>
          <w:bottom w:w="0" w:type="dxa"/>
          <w:right w:w="108" w:type="dxa"/>
        </w:tblCellMar>
      </w:tblPr>
      <w:tblGrid>
        <w:gridCol w:w="1378"/>
        <w:gridCol w:w="2098"/>
        <w:gridCol w:w="1258"/>
        <w:gridCol w:w="1818"/>
        <w:gridCol w:w="3038"/>
      </w:tblGrid>
      <w:tr w14:paraId="560569AC">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529" w:hRule="atLeast"/>
        </w:trPr>
        <w:tc>
          <w:tcPr>
            <w:tcW w:w="1378" w:type="dxa"/>
            <w:tcBorders>
              <w:top w:val="nil"/>
              <w:left w:val="nil"/>
              <w:bottom w:val="dotted" w:color="919191" w:sz="6" w:space="0"/>
              <w:right w:val="single" w:color="919191" w:sz="2" w:space="0"/>
            </w:tcBorders>
            <w:tcMar>
              <w:top w:w="54" w:type="dxa"/>
              <w:left w:w="54" w:type="dxa"/>
              <w:bottom w:w="54" w:type="dxa"/>
              <w:right w:w="54" w:type="dxa"/>
            </w:tcMar>
          </w:tcPr>
          <w:p w14:paraId="61894AC5">
            <w:pPr>
              <w:pStyle w:val="3"/>
            </w:pPr>
            <w:r>
              <w:rPr>
                <w:rFonts w:ascii="Helvetica Neue" w:hAnsi="Helvetica Neue"/>
                <w:b/>
                <w:bCs/>
              </w:rPr>
              <w:t>Type</w:t>
            </w:r>
          </w:p>
        </w:tc>
        <w:tc>
          <w:tcPr>
            <w:tcW w:w="2098" w:type="dxa"/>
            <w:tcBorders>
              <w:top w:val="nil"/>
              <w:left w:val="single" w:color="919191" w:sz="2" w:space="0"/>
              <w:bottom w:val="dotted" w:color="919191" w:sz="6" w:space="0"/>
              <w:right w:val="single" w:color="919191" w:sz="2" w:space="0"/>
            </w:tcBorders>
            <w:tcMar>
              <w:top w:w="54" w:type="dxa"/>
              <w:left w:w="54" w:type="dxa"/>
              <w:bottom w:w="54" w:type="dxa"/>
              <w:right w:w="54" w:type="dxa"/>
            </w:tcMar>
          </w:tcPr>
          <w:p w14:paraId="6B0654F6">
            <w:pPr>
              <w:pStyle w:val="3"/>
            </w:pPr>
            <w:r>
              <w:rPr>
                <w:rFonts w:ascii="Helvetica Neue" w:hAnsi="Helvetica Neue"/>
                <w:b/>
                <w:bCs/>
              </w:rPr>
              <w:t>Existing Facilities</w:t>
            </w:r>
          </w:p>
        </w:tc>
        <w:tc>
          <w:tcPr>
            <w:tcW w:w="1258" w:type="dxa"/>
            <w:tcBorders>
              <w:top w:val="nil"/>
              <w:left w:val="single" w:color="919191" w:sz="2" w:space="0"/>
              <w:bottom w:val="dotted" w:color="919191" w:sz="6" w:space="0"/>
              <w:right w:val="single" w:color="919191" w:sz="2" w:space="0"/>
            </w:tcBorders>
            <w:tcMar>
              <w:top w:w="54" w:type="dxa"/>
              <w:left w:w="54" w:type="dxa"/>
              <w:bottom w:w="54" w:type="dxa"/>
              <w:right w:w="54" w:type="dxa"/>
            </w:tcMar>
          </w:tcPr>
          <w:p w14:paraId="6CF642B2">
            <w:pPr>
              <w:pStyle w:val="3"/>
            </w:pPr>
            <w:r>
              <w:rPr>
                <w:rFonts w:ascii="Helvetica Neue" w:hAnsi="Helvetica Neue"/>
                <w:b/>
                <w:bCs/>
              </w:rPr>
              <w:t>Tentative PPP Model</w:t>
            </w:r>
          </w:p>
        </w:tc>
        <w:tc>
          <w:tcPr>
            <w:tcW w:w="1818" w:type="dxa"/>
            <w:tcBorders>
              <w:top w:val="nil"/>
              <w:left w:val="single" w:color="919191" w:sz="2" w:space="0"/>
              <w:bottom w:val="dotted" w:color="919191" w:sz="6" w:space="0"/>
              <w:right w:val="single" w:color="919191" w:sz="2" w:space="0"/>
            </w:tcBorders>
            <w:tcMar>
              <w:top w:w="54" w:type="dxa"/>
              <w:left w:w="54" w:type="dxa"/>
              <w:bottom w:w="54" w:type="dxa"/>
              <w:right w:w="54" w:type="dxa"/>
            </w:tcMar>
          </w:tcPr>
          <w:p w14:paraId="3E69A512">
            <w:pPr>
              <w:pStyle w:val="3"/>
            </w:pPr>
            <w:r>
              <w:rPr>
                <w:rFonts w:ascii="Helvetica Neue" w:hAnsi="Helvetica Neue"/>
                <w:b/>
                <w:bCs/>
              </w:rPr>
              <w:t>Reason</w:t>
            </w:r>
          </w:p>
        </w:tc>
        <w:tc>
          <w:tcPr>
            <w:tcW w:w="3038" w:type="dxa"/>
            <w:tcBorders>
              <w:top w:val="nil"/>
              <w:left w:val="single" w:color="919191" w:sz="2" w:space="0"/>
              <w:bottom w:val="dotted" w:color="919191" w:sz="6" w:space="0"/>
              <w:right w:val="nil"/>
            </w:tcBorders>
            <w:tcMar>
              <w:top w:w="54" w:type="dxa"/>
              <w:left w:w="54" w:type="dxa"/>
              <w:bottom w:w="54" w:type="dxa"/>
              <w:right w:w="54" w:type="dxa"/>
            </w:tcMar>
          </w:tcPr>
          <w:p w14:paraId="75EE677F">
            <w:pPr>
              <w:pStyle w:val="3"/>
            </w:pPr>
            <w:r>
              <w:rPr>
                <w:rFonts w:ascii="Helvetica Neue" w:hAnsi="Helvetica Neue"/>
                <w:b/>
                <w:bCs/>
              </w:rPr>
              <w:t>Duties of Investor</w:t>
            </w:r>
          </w:p>
        </w:tc>
      </w:tr>
      <w:tr w14:paraId="58A5EB28">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4558" w:hRule="atLeast"/>
        </w:trPr>
        <w:tc>
          <w:tcPr>
            <w:tcW w:w="1378" w:type="dxa"/>
            <w:tcBorders>
              <w:top w:val="dotted" w:color="919191" w:sz="6" w:space="0"/>
              <w:left w:val="nil"/>
              <w:bottom w:val="dotted" w:color="919191" w:sz="6" w:space="0"/>
              <w:right w:val="single" w:color="919191" w:sz="2" w:space="0"/>
            </w:tcBorders>
            <w:shd w:val="clear" w:color="auto" w:fill="EEEEEE"/>
            <w:tcMar>
              <w:top w:w="54" w:type="dxa"/>
              <w:left w:w="54" w:type="dxa"/>
              <w:bottom w:w="54" w:type="dxa"/>
              <w:right w:w="54" w:type="dxa"/>
            </w:tcMar>
          </w:tcPr>
          <w:p w14:paraId="28B3D2F6">
            <w:pPr>
              <w:pStyle w:val="3"/>
            </w:pPr>
            <w:r>
              <w:rPr>
                <w:rFonts w:eastAsia="Arial Unicode MS" w:cs="Arial Unicode MS"/>
              </w:rPr>
              <w:t xml:space="preserve">UNN Medical Center at Nsukka </w:t>
            </w:r>
          </w:p>
          <w:p w14:paraId="15B0FB4A">
            <w:pPr>
              <w:pStyle w:val="3"/>
            </w:pPr>
            <w:r>
              <w:rPr>
                <w:rFonts w:eastAsia="Arial Unicode MS" w:cs="Arial Unicode MS"/>
              </w:rPr>
              <w:t>(46 beds, Staff strength -100)</w:t>
            </w:r>
          </w:p>
        </w:tc>
        <w:tc>
          <w:tcPr>
            <w:tcW w:w="2098"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41A50A25">
            <w:pPr>
              <w:pStyle w:val="3"/>
            </w:pPr>
            <w:r>
              <w:rPr>
                <w:rFonts w:eastAsia="Arial Unicode MS" w:cs="Arial Unicode MS"/>
              </w:rPr>
              <w:t>- 1 Duplex</w:t>
            </w:r>
          </w:p>
          <w:p w14:paraId="7382F31F">
            <w:pPr>
              <w:pStyle w:val="3"/>
            </w:pPr>
            <w:r>
              <w:rPr>
                <w:rFonts w:eastAsia="Arial Unicode MS" w:cs="Arial Unicode MS"/>
              </w:rPr>
              <w:t>- 4 Bungalows</w:t>
            </w:r>
          </w:p>
          <w:p w14:paraId="01B5E99F">
            <w:pPr>
              <w:pStyle w:val="3"/>
            </w:pPr>
            <w:r>
              <w:rPr>
                <w:rFonts w:eastAsia="Arial Unicode MS" w:cs="Arial Unicode MS"/>
              </w:rPr>
              <w:t>-1 Ambulance</w:t>
            </w:r>
          </w:p>
          <w:p w14:paraId="3AD027E4">
            <w:pPr>
              <w:pStyle w:val="3"/>
            </w:pPr>
            <w:r>
              <w:rPr>
                <w:rFonts w:eastAsia="Arial Unicode MS" w:cs="Arial Unicode MS"/>
              </w:rPr>
              <w:t>-Out-Patient Dept (OPD)</w:t>
            </w:r>
          </w:p>
          <w:p w14:paraId="5E973955">
            <w:pPr>
              <w:pStyle w:val="3"/>
            </w:pPr>
            <w:r>
              <w:rPr>
                <w:rFonts w:eastAsia="Arial Unicode MS" w:cs="Arial Unicode MS"/>
              </w:rPr>
              <w:t>-Emergency Unit</w:t>
            </w:r>
          </w:p>
          <w:p w14:paraId="6A7F6B1C">
            <w:pPr>
              <w:pStyle w:val="3"/>
            </w:pPr>
            <w:r>
              <w:rPr>
                <w:rFonts w:eastAsia="Arial Unicode MS" w:cs="Arial Unicode MS"/>
              </w:rPr>
              <w:t>- Mortuary</w:t>
            </w:r>
          </w:p>
          <w:p w14:paraId="353D0D54">
            <w:pPr>
              <w:pStyle w:val="3"/>
            </w:pPr>
            <w:r>
              <w:rPr>
                <w:rFonts w:eastAsia="Arial Unicode MS" w:cs="Arial Unicode MS"/>
              </w:rPr>
              <w:t>- Borehole water supply</w:t>
            </w:r>
          </w:p>
          <w:p w14:paraId="02352889">
            <w:pPr>
              <w:pStyle w:val="3"/>
            </w:pPr>
            <w:r>
              <w:rPr>
                <w:rFonts w:eastAsia="Arial Unicode MS" w:cs="Arial Unicode MS"/>
              </w:rPr>
              <w:t>- Central sewage</w:t>
            </w:r>
          </w:p>
          <w:p w14:paraId="4C60BB27">
            <w:pPr>
              <w:pStyle w:val="3"/>
            </w:pPr>
            <w:r>
              <w:rPr>
                <w:rFonts w:eastAsia="Arial Unicode MS" w:cs="Arial Unicode MS"/>
              </w:rPr>
              <w:t>-250 kVA Genset</w:t>
            </w:r>
          </w:p>
        </w:tc>
        <w:tc>
          <w:tcPr>
            <w:tcW w:w="1258"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35F8A787">
            <w:pPr>
              <w:pStyle w:val="3"/>
            </w:pPr>
            <w:r>
              <w:rPr>
                <w:rFonts w:eastAsia="Arial Unicode MS" w:cs="Arial Unicode MS"/>
              </w:rPr>
              <w:t>Lease Contract for 10 years subject to renewal</w:t>
            </w:r>
          </w:p>
        </w:tc>
        <w:tc>
          <w:tcPr>
            <w:tcW w:w="1818"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1F3FC727">
            <w:pPr>
              <w:pStyle w:val="3"/>
            </w:pPr>
            <w:r>
              <w:rPr>
                <w:rFonts w:eastAsia="Arial Unicode MS" w:cs="Arial Unicode MS"/>
              </w:rPr>
              <w:t>The PPP investor will deploy expertise and capital investment to ensure world-class service delivery and higher returns to the University.</w:t>
            </w:r>
          </w:p>
        </w:tc>
        <w:tc>
          <w:tcPr>
            <w:tcW w:w="3038"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54" w:type="dxa"/>
            </w:tcMar>
          </w:tcPr>
          <w:p w14:paraId="6CC7E63A">
            <w:pPr>
              <w:pStyle w:val="3"/>
            </w:pPr>
            <w:r>
              <w:rPr>
                <w:rFonts w:eastAsia="Arial Unicode MS" w:cs="Arial Unicode MS"/>
              </w:rPr>
              <w:t>-Provide expertise and capital investment</w:t>
            </w:r>
          </w:p>
          <w:p w14:paraId="4BD82EB7">
            <w:pPr>
              <w:pStyle w:val="3"/>
            </w:pPr>
            <w:r>
              <w:rPr>
                <w:rFonts w:eastAsia="Arial Unicode MS" w:cs="Arial Unicode MS"/>
              </w:rPr>
              <w:t xml:space="preserve">-Provide all necessary medical services and facilities </w:t>
            </w:r>
          </w:p>
          <w:p w14:paraId="3F84EEAF">
            <w:pPr>
              <w:pStyle w:val="3"/>
            </w:pPr>
            <w:r>
              <w:rPr>
                <w:rFonts w:eastAsia="Arial Unicode MS" w:cs="Arial Unicode MS"/>
              </w:rPr>
              <w:t>-Operate and manage the hospital for 10 years subject to renewal</w:t>
            </w:r>
          </w:p>
          <w:p w14:paraId="69C57EFF">
            <w:pPr>
              <w:pStyle w:val="3"/>
            </w:pPr>
            <w:r>
              <w:rPr>
                <w:rFonts w:eastAsia="Arial Unicode MS" w:cs="Arial Unicode MS"/>
              </w:rPr>
              <w:t>- Make agreed contractual payments to the University</w:t>
            </w:r>
          </w:p>
        </w:tc>
      </w:tr>
      <w:tr w14:paraId="35E66317">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076" w:hRule="atLeast"/>
        </w:trPr>
        <w:tc>
          <w:tcPr>
            <w:tcW w:w="1378" w:type="dxa"/>
            <w:tcBorders>
              <w:top w:val="dotted" w:color="919191" w:sz="6" w:space="0"/>
              <w:left w:val="nil"/>
              <w:bottom w:val="nil"/>
              <w:right w:val="single" w:color="919191" w:sz="2" w:space="0"/>
            </w:tcBorders>
            <w:tcMar>
              <w:top w:w="54" w:type="dxa"/>
              <w:left w:w="54" w:type="dxa"/>
              <w:bottom w:w="54" w:type="dxa"/>
              <w:right w:w="54" w:type="dxa"/>
            </w:tcMar>
          </w:tcPr>
          <w:p w14:paraId="703B344C">
            <w:pPr>
              <w:pStyle w:val="3"/>
            </w:pPr>
            <w:r>
              <w:rPr>
                <w:rFonts w:eastAsia="Arial Unicode MS" w:cs="Arial Unicode MS"/>
              </w:rPr>
              <w:t>UNN Medical Center at Enugu</w:t>
            </w:r>
          </w:p>
          <w:p w14:paraId="2A522E7D">
            <w:pPr>
              <w:pStyle w:val="3"/>
            </w:pPr>
            <w:r>
              <w:rPr>
                <w:rFonts w:eastAsia="Arial Unicode MS" w:cs="Arial Unicode MS"/>
              </w:rPr>
              <w:t>(20 beds, Staff strength -77)</w:t>
            </w:r>
          </w:p>
        </w:tc>
        <w:tc>
          <w:tcPr>
            <w:tcW w:w="2098" w:type="dxa"/>
            <w:tcBorders>
              <w:top w:val="dotted" w:color="919191" w:sz="6" w:space="0"/>
              <w:left w:val="single" w:color="919191" w:sz="2" w:space="0"/>
              <w:bottom w:val="nil"/>
              <w:right w:val="single" w:color="919191" w:sz="2" w:space="0"/>
            </w:tcBorders>
            <w:tcMar>
              <w:top w:w="54" w:type="dxa"/>
              <w:left w:w="54" w:type="dxa"/>
              <w:bottom w:w="54" w:type="dxa"/>
              <w:right w:w="54" w:type="dxa"/>
            </w:tcMar>
          </w:tcPr>
          <w:p w14:paraId="2DCE3406">
            <w:pPr>
              <w:pStyle w:val="3"/>
            </w:pPr>
            <w:r>
              <w:rPr>
                <w:rFonts w:eastAsia="Arial Unicode MS" w:cs="Arial Unicode MS"/>
              </w:rPr>
              <w:t>- 1 Bungalow (13 rooms)</w:t>
            </w:r>
          </w:p>
          <w:p w14:paraId="5AAE9003">
            <w:pPr>
              <w:pStyle w:val="3"/>
            </w:pPr>
            <w:r>
              <w:rPr>
                <w:rFonts w:eastAsia="Arial Unicode MS" w:cs="Arial Unicode MS"/>
              </w:rPr>
              <w:t>-Out-Patient Dept (OPD)</w:t>
            </w:r>
          </w:p>
          <w:p w14:paraId="75D7A804">
            <w:pPr>
              <w:pStyle w:val="3"/>
            </w:pPr>
            <w:r>
              <w:rPr>
                <w:rFonts w:eastAsia="Arial Unicode MS" w:cs="Arial Unicode MS"/>
              </w:rPr>
              <w:t>-Dental unit</w:t>
            </w:r>
          </w:p>
          <w:p w14:paraId="6D5594FD">
            <w:pPr>
              <w:pStyle w:val="3"/>
            </w:pPr>
            <w:r>
              <w:rPr>
                <w:rFonts w:eastAsia="Arial Unicode MS" w:cs="Arial Unicode MS"/>
              </w:rPr>
              <w:t>-independent water supply (water vendors)</w:t>
            </w:r>
          </w:p>
        </w:tc>
        <w:tc>
          <w:tcPr>
            <w:tcW w:w="1258" w:type="dxa"/>
            <w:tcBorders>
              <w:top w:val="dotted" w:color="919191" w:sz="6" w:space="0"/>
              <w:left w:val="single" w:color="919191" w:sz="2" w:space="0"/>
              <w:bottom w:val="nil"/>
              <w:right w:val="single" w:color="919191" w:sz="2" w:space="0"/>
            </w:tcBorders>
            <w:tcMar>
              <w:top w:w="54" w:type="dxa"/>
              <w:left w:w="54" w:type="dxa"/>
              <w:bottom w:w="54" w:type="dxa"/>
              <w:right w:w="54" w:type="dxa"/>
            </w:tcMar>
          </w:tcPr>
          <w:p w14:paraId="0741B190">
            <w:pPr>
              <w:pStyle w:val="3"/>
            </w:pPr>
            <w:r>
              <w:rPr>
                <w:rFonts w:eastAsia="Arial Unicode MS" w:cs="Arial Unicode MS"/>
              </w:rPr>
              <w:t>Lease Contract for 10 years subject to renewal</w:t>
            </w:r>
          </w:p>
        </w:tc>
        <w:tc>
          <w:tcPr>
            <w:tcW w:w="1818" w:type="dxa"/>
            <w:tcBorders>
              <w:top w:val="dotted" w:color="919191" w:sz="6" w:space="0"/>
              <w:left w:val="single" w:color="919191" w:sz="2" w:space="0"/>
              <w:bottom w:val="nil"/>
              <w:right w:val="single" w:color="919191" w:sz="2" w:space="0"/>
            </w:tcBorders>
            <w:tcMar>
              <w:top w:w="54" w:type="dxa"/>
              <w:left w:w="54" w:type="dxa"/>
              <w:bottom w:w="54" w:type="dxa"/>
              <w:right w:w="54" w:type="dxa"/>
            </w:tcMar>
          </w:tcPr>
          <w:p w14:paraId="7E459A54">
            <w:pPr>
              <w:pStyle w:val="3"/>
            </w:pPr>
            <w:r>
              <w:rPr>
                <w:rFonts w:eastAsia="Arial Unicode MS" w:cs="Arial Unicode MS"/>
              </w:rPr>
              <w:t>The PPP investor will deploy expertise and capital investment to ensure world-class service delivery and higher returns to the University.</w:t>
            </w:r>
          </w:p>
        </w:tc>
        <w:tc>
          <w:tcPr>
            <w:tcW w:w="3038" w:type="dxa"/>
            <w:tcBorders>
              <w:top w:val="dotted" w:color="919191" w:sz="6" w:space="0"/>
              <w:left w:val="single" w:color="919191" w:sz="2" w:space="0"/>
              <w:bottom w:val="nil"/>
              <w:right w:val="nil"/>
            </w:tcBorders>
            <w:tcMar>
              <w:top w:w="54" w:type="dxa"/>
              <w:left w:w="54" w:type="dxa"/>
              <w:bottom w:w="54" w:type="dxa"/>
              <w:right w:w="54" w:type="dxa"/>
            </w:tcMar>
          </w:tcPr>
          <w:p w14:paraId="4F3E917C">
            <w:pPr>
              <w:pStyle w:val="3"/>
            </w:pPr>
            <w:r>
              <w:rPr>
                <w:rFonts w:eastAsia="Arial Unicode MS" w:cs="Arial Unicode MS"/>
              </w:rPr>
              <w:t>-Provide expertise and capital investment</w:t>
            </w:r>
          </w:p>
          <w:p w14:paraId="2E601D63">
            <w:pPr>
              <w:pStyle w:val="3"/>
            </w:pPr>
            <w:r>
              <w:rPr>
                <w:rFonts w:eastAsia="Arial Unicode MS" w:cs="Arial Unicode MS"/>
              </w:rPr>
              <w:t xml:space="preserve">-Provide all necessary medical services and facilities </w:t>
            </w:r>
          </w:p>
          <w:p w14:paraId="3854228D">
            <w:pPr>
              <w:pStyle w:val="3"/>
            </w:pPr>
            <w:r>
              <w:rPr>
                <w:rFonts w:eastAsia="Arial Unicode MS" w:cs="Arial Unicode MS"/>
              </w:rPr>
              <w:t>-Operate and manage the hospital for 10 years subject to renewal</w:t>
            </w:r>
          </w:p>
          <w:p w14:paraId="0EBE4EEC">
            <w:pPr>
              <w:pStyle w:val="3"/>
            </w:pPr>
            <w:r>
              <w:rPr>
                <w:rFonts w:eastAsia="Arial Unicode MS" w:cs="Arial Unicode MS"/>
              </w:rPr>
              <w:t>-Make agreed contractual payments to the University</w:t>
            </w:r>
          </w:p>
        </w:tc>
      </w:tr>
    </w:tbl>
    <w:p w14:paraId="62743B66">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2017B44A">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486C3481">
      <w:pPr>
        <w:pStyle w:val="24"/>
      </w:pPr>
      <w:bookmarkStart w:id="103" w:name="_Toc102"/>
      <w:r>
        <w:rPr>
          <w:rFonts w:ascii="Helvetica Neue" w:hAnsi="Helvetica Neue"/>
          <w:b/>
          <w:bCs/>
          <w:color w:val="000000"/>
          <w:lang w:val="de-DE"/>
        </w:rPr>
        <w:t xml:space="preserve">ANNEXES </w:t>
      </w:r>
      <w:r>
        <w:rPr>
          <w:rFonts w:ascii="Helvetica Neue" w:hAnsi="Helvetica Neue"/>
          <w:b/>
          <w:bCs/>
          <w:color w:val="000000"/>
          <w:lang w:val="en-US"/>
        </w:rPr>
        <w:t>B: SOURCES OF PPP FINANCING</w:t>
      </w:r>
      <w:r>
        <w:rPr>
          <w:rFonts w:eastAsia="Arial Unicode MS" w:cs="Arial Unicode MS"/>
        </w:rPr>
        <w:t xml:space="preserve"> </w:t>
      </w:r>
      <w:bookmarkEnd w:id="103"/>
    </w:p>
    <w:p w14:paraId="7A27067C">
      <w:pPr>
        <w:pStyle w:val="3"/>
      </w:pPr>
    </w:p>
    <w:p w14:paraId="4630CA24">
      <w:pPr>
        <w:pStyle w:val="3"/>
        <w:spacing w:line="360" w:lineRule="auto"/>
        <w:jc w:val="both"/>
        <w:rPr>
          <w:sz w:val="24"/>
          <w:szCs w:val="24"/>
        </w:rPr>
      </w:pPr>
      <w:r>
        <w:rPr>
          <w:sz w:val="24"/>
          <w:szCs w:val="24"/>
          <w:lang w:val="en-US"/>
        </w:rPr>
        <w:t xml:space="preserve">When a project is proposed as a PPP, the responsibility for arranging the funds for financing the project typically rests with the private bidders. In general, Project Finance is often deployed. </w:t>
      </w:r>
    </w:p>
    <w:p w14:paraId="58C7B419">
      <w:pPr>
        <w:pStyle w:val="3"/>
        <w:spacing w:line="360" w:lineRule="auto"/>
        <w:jc w:val="both"/>
        <w:rPr>
          <w:sz w:val="24"/>
          <w:szCs w:val="24"/>
        </w:rPr>
      </w:pPr>
      <w:r>
        <w:rPr>
          <w:sz w:val="24"/>
          <w:szCs w:val="24"/>
          <w:lang w:val="en-US"/>
        </w:rPr>
        <w:t xml:space="preserve">A common approach to financing PPP projects is to structure the PPP Company as a Special Purpose Vehicle (SPV). The investors/lenders have rights to the cash flows of only the PPP Company itself and no or limited recourse to the cash flows of the project sponsor. In other words, project loans and investments are only secured by the project assets with no claim on the assets of the project sponsor. A sponsor structures projects this way to safeguard their company from the complex and ever-changing project risks. </w:t>
      </w:r>
    </w:p>
    <w:p w14:paraId="005507F1">
      <w:pPr>
        <w:pStyle w:val="3"/>
        <w:spacing w:line="360" w:lineRule="auto"/>
        <w:jc w:val="both"/>
        <w:rPr>
          <w:sz w:val="24"/>
          <w:szCs w:val="24"/>
        </w:rPr>
      </w:pPr>
      <w:r>
        <w:rPr>
          <w:sz w:val="24"/>
          <w:szCs w:val="24"/>
          <w:lang w:val="en-US"/>
        </w:rPr>
        <w:t>To get a project finance arrangement started, the PPP Company, structured as a SPV, receives seed money financed with debt and/or equity from one or more sponsoring firms, recoverable as development costs from the first drawdown of the loans arranged to finance the PPP project. However, the specific assets and liabilities of the PPP Company do not appear on the sponsors</w:t>
      </w:r>
      <w:r>
        <w:rPr>
          <w:sz w:val="24"/>
          <w:szCs w:val="24"/>
          <w:rtl/>
        </w:rPr>
        <w:t xml:space="preserve">’ </w:t>
      </w:r>
      <w:r>
        <w:rPr>
          <w:sz w:val="24"/>
          <w:szCs w:val="24"/>
          <w:lang w:val="en-US"/>
        </w:rPr>
        <w:t xml:space="preserve">balance sheet and, as a result, the PPP Company does not have access to internally generated cash flows of the sponsoring firm. </w:t>
      </w:r>
    </w:p>
    <w:p w14:paraId="591E4865">
      <w:pPr>
        <w:pStyle w:val="3"/>
        <w:spacing w:line="360" w:lineRule="auto"/>
        <w:jc w:val="both"/>
        <w:rPr>
          <w:sz w:val="24"/>
          <w:szCs w:val="24"/>
        </w:rPr>
      </w:pPr>
      <w:r>
        <w:rPr>
          <w:sz w:val="24"/>
          <w:szCs w:val="24"/>
          <w:lang w:val="en-US"/>
        </w:rPr>
        <w:t xml:space="preserve">After the PPP Company receives some seed capital from its sponsors, the PPP Company will approach the market for additional financing. Investors and lenders are asked to only consider the bankability / financial opportunity of the project for which the PPP Company was created. As a result, all the interest, loan repayments, and equity returns come only from the cash flows generated from the project. The term of the investment is also limited, as the PPP Company is dissolved once the project is completed and the concession reaches maturity, although this may not be for up to 30 years. </w:t>
      </w:r>
    </w:p>
    <w:p w14:paraId="79CC2C19">
      <w:pPr>
        <w:pStyle w:val="3"/>
        <w:spacing w:line="360" w:lineRule="auto"/>
        <w:jc w:val="both"/>
        <w:rPr>
          <w:sz w:val="24"/>
          <w:szCs w:val="24"/>
        </w:rPr>
      </w:pPr>
      <w:r>
        <w:rPr>
          <w:sz w:val="24"/>
          <w:szCs w:val="24"/>
          <w:lang w:val="en-US"/>
        </w:rPr>
        <w:t xml:space="preserve">Since the PPP Company is a standalone, legally independent company, the debt and/or equity is structured without recourse to the sponsor. This can make the cost of debt and equity higher, although it may also provide a higher risk/reward return to equity investors. The PPP Company various financial options include but not limited to: </w:t>
      </w:r>
    </w:p>
    <w:p w14:paraId="1B7D51DC">
      <w:pPr>
        <w:pStyle w:val="3"/>
        <w:spacing w:line="360" w:lineRule="auto"/>
        <w:jc w:val="both"/>
        <w:rPr>
          <w:rFonts w:ascii="Helvetica Neue" w:hAnsi="Helvetica Neue" w:eastAsia="Helvetica Neue" w:cs="Helvetica Neue"/>
          <w:b/>
          <w:bCs/>
          <w:sz w:val="24"/>
          <w:szCs w:val="24"/>
        </w:rPr>
      </w:pPr>
      <w:r>
        <w:rPr>
          <w:rFonts w:ascii="Helvetica Neue" w:hAnsi="Helvetica Neue"/>
          <w:b/>
          <w:bCs/>
          <w:sz w:val="24"/>
          <w:szCs w:val="24"/>
          <w:lang w:val="en-US"/>
        </w:rPr>
        <w:t xml:space="preserve">Private Equity </w:t>
      </w:r>
    </w:p>
    <w:p w14:paraId="31BA219D">
      <w:pPr>
        <w:pStyle w:val="3"/>
        <w:spacing w:line="360" w:lineRule="auto"/>
        <w:jc w:val="both"/>
        <w:rPr>
          <w:sz w:val="24"/>
          <w:szCs w:val="24"/>
        </w:rPr>
      </w:pPr>
      <w:r>
        <w:rPr>
          <w:sz w:val="24"/>
          <w:szCs w:val="24"/>
          <w:lang w:val="en-US"/>
        </w:rPr>
        <w:t xml:space="preserve">Equity is provided by </w:t>
      </w:r>
      <w:r>
        <w:rPr>
          <w:sz w:val="24"/>
          <w:szCs w:val="24"/>
          <w:rtl/>
        </w:rPr>
        <w:t>‘</w:t>
      </w:r>
      <w:r>
        <w:rPr>
          <w:sz w:val="24"/>
          <w:szCs w:val="24"/>
          <w:lang w:val="en-US"/>
        </w:rPr>
        <w:t>project sponsors</w:t>
      </w:r>
      <w:r>
        <w:rPr>
          <w:sz w:val="24"/>
          <w:szCs w:val="24"/>
          <w:rtl/>
        </w:rPr>
        <w:t xml:space="preserve">’ </w:t>
      </w:r>
      <w:r>
        <w:rPr>
          <w:sz w:val="24"/>
          <w:szCs w:val="24"/>
          <w:lang w:val="en-US"/>
        </w:rPr>
        <w:t xml:space="preserve">(those who have an operational interest in the contract) or </w:t>
      </w:r>
      <w:r>
        <w:rPr>
          <w:sz w:val="24"/>
          <w:szCs w:val="24"/>
          <w:rtl/>
        </w:rPr>
        <w:t>‘</w:t>
      </w:r>
      <w:r>
        <w:rPr>
          <w:sz w:val="24"/>
          <w:szCs w:val="24"/>
          <w:lang w:val="en-US"/>
        </w:rPr>
        <w:t>financial investors</w:t>
      </w:r>
      <w:r>
        <w:rPr>
          <w:sz w:val="24"/>
          <w:szCs w:val="24"/>
          <w:rtl/>
        </w:rPr>
        <w:t xml:space="preserve">’ </w:t>
      </w:r>
      <w:r>
        <w:rPr>
          <w:sz w:val="24"/>
          <w:szCs w:val="24"/>
          <w:lang w:val="en-US"/>
        </w:rPr>
        <w:t xml:space="preserve">(those who have only an investment interest). Often the private project sponsor is required by University or lending institutions to invest a certain percentage of equity capital in the PPP project. This can be done either by the private project sponsor alone or be contributed by a consortium of operational investors. The advantage of funding PPP projects through a consortium of equity investors is that the consortium can be constituted to minimize project risks by assigning each consortium member to manage the risks that correspond to their area of functional expertise. </w:t>
      </w:r>
    </w:p>
    <w:p w14:paraId="72E3E382">
      <w:pPr>
        <w:pStyle w:val="3"/>
        <w:spacing w:line="360" w:lineRule="auto"/>
        <w:jc w:val="both"/>
        <w:rPr>
          <w:rFonts w:ascii="Helvetica Neue" w:hAnsi="Helvetica Neue" w:eastAsia="Helvetica Neue" w:cs="Helvetica Neue"/>
          <w:b/>
          <w:bCs/>
          <w:sz w:val="24"/>
          <w:szCs w:val="24"/>
        </w:rPr>
      </w:pPr>
      <w:r>
        <w:rPr>
          <w:rFonts w:ascii="Helvetica Neue" w:hAnsi="Helvetica Neue"/>
          <w:b/>
          <w:bCs/>
          <w:sz w:val="24"/>
          <w:szCs w:val="24"/>
          <w:lang w:val="en-US"/>
        </w:rPr>
        <w:t xml:space="preserve">Equity Can be raised through: </w:t>
      </w:r>
    </w:p>
    <w:p w14:paraId="2B9BEE89">
      <w:pPr>
        <w:pStyle w:val="3"/>
        <w:spacing w:line="360" w:lineRule="auto"/>
        <w:jc w:val="both"/>
        <w:rPr>
          <w:sz w:val="24"/>
          <w:szCs w:val="24"/>
        </w:rPr>
      </w:pPr>
      <w:r>
        <w:rPr>
          <w:rFonts w:ascii="Helvetica Neue" w:hAnsi="Helvetica Neue"/>
          <w:b/>
          <w:bCs/>
          <w:sz w:val="24"/>
          <w:szCs w:val="24"/>
          <w:lang w:val="pt-PT"/>
        </w:rPr>
        <w:t>Equity Issuances</w:t>
      </w:r>
      <w:r>
        <w:rPr>
          <w:sz w:val="24"/>
          <w:szCs w:val="24"/>
          <w:lang w:val="en-US"/>
        </w:rPr>
        <w:t xml:space="preserve">: Equity may be raised by the project sponsors separately or by a fund set up to invest in the project or by PPP Investment Funds. It can be classified as public issuance, rights issuance, or private placement. </w:t>
      </w:r>
    </w:p>
    <w:p w14:paraId="181ABE6F">
      <w:pPr>
        <w:pStyle w:val="3"/>
        <w:spacing w:line="360" w:lineRule="auto"/>
        <w:jc w:val="both"/>
        <w:rPr>
          <w:sz w:val="24"/>
          <w:szCs w:val="24"/>
        </w:rPr>
      </w:pPr>
      <w:r>
        <w:rPr>
          <w:rFonts w:ascii="Helvetica Neue" w:hAnsi="Helvetica Neue"/>
          <w:b/>
          <w:bCs/>
          <w:sz w:val="24"/>
          <w:szCs w:val="24"/>
          <w:lang w:val="en-US"/>
        </w:rPr>
        <w:t>Alumni Funding</w:t>
      </w:r>
      <w:r>
        <w:rPr>
          <w:sz w:val="24"/>
          <w:szCs w:val="24"/>
          <w:lang w:val="en-US"/>
        </w:rPr>
        <w:t xml:space="preserve">: UNN have significant profound alumni members donating to the University through registered or non-registered alumni associations. These investments shall be structured into an endowment fund to serve as equity for better and sustainable outcomes. This shall be made attractive through in the form of impact investment to enable the alumni earn minimal financial return while major focus is on achieving social impact in the University  </w:t>
      </w:r>
    </w:p>
    <w:p w14:paraId="550878CC">
      <w:pPr>
        <w:pStyle w:val="3"/>
        <w:spacing w:line="360" w:lineRule="auto"/>
        <w:jc w:val="both"/>
        <w:rPr>
          <w:sz w:val="24"/>
          <w:szCs w:val="24"/>
        </w:rPr>
      </w:pPr>
      <w:r>
        <w:rPr>
          <w:rFonts w:ascii="Helvetica Neue" w:hAnsi="Helvetica Neue"/>
          <w:b/>
          <w:bCs/>
          <w:sz w:val="24"/>
          <w:szCs w:val="24"/>
          <w:lang w:val="en-US"/>
        </w:rPr>
        <w:t xml:space="preserve">Government or University Funded: </w:t>
      </w:r>
      <w:r>
        <w:rPr>
          <w:sz w:val="24"/>
          <w:szCs w:val="24"/>
          <w:lang w:val="en-US"/>
        </w:rPr>
        <w:t xml:space="preserve">In specific cases, especially in high risk and/or high developmental impact projects, Federal or State governments or even the University through its TERTFUND allocations might contribute funds to enhance the viability of the project. A key reason for this may be to make the project </w:t>
      </w:r>
      <w:r>
        <w:rPr>
          <w:sz w:val="24"/>
          <w:szCs w:val="24"/>
          <w:rtl/>
          <w:lang w:val="ar-SA"/>
        </w:rPr>
        <w:t>“</w:t>
      </w:r>
      <w:r>
        <w:rPr>
          <w:sz w:val="24"/>
          <w:szCs w:val="24"/>
        </w:rPr>
        <w:t xml:space="preserve">bankable” </w:t>
      </w:r>
      <w:r>
        <w:rPr>
          <w:sz w:val="24"/>
          <w:szCs w:val="24"/>
          <w:lang w:val="en-US"/>
        </w:rPr>
        <w:t xml:space="preserve">or more viable to the private sector. Some reasons for government support may include: </w:t>
      </w:r>
    </w:p>
    <w:p w14:paraId="410F0718">
      <w:pPr>
        <w:pStyle w:val="3"/>
        <w:spacing w:line="360" w:lineRule="auto"/>
        <w:jc w:val="both"/>
        <w:rPr>
          <w:sz w:val="24"/>
          <w:szCs w:val="24"/>
        </w:rPr>
      </w:pPr>
      <w:r>
        <w:rPr>
          <w:sz w:val="24"/>
          <w:szCs w:val="24"/>
          <w:lang w:val="en-US"/>
        </w:rPr>
        <w:t xml:space="preserve">Supporting economically and socially weaker sections of society who cannot pay commercial prices for basic services; </w:t>
      </w:r>
    </w:p>
    <w:p w14:paraId="78900D84">
      <w:pPr>
        <w:pStyle w:val="3"/>
        <w:spacing w:line="360" w:lineRule="auto"/>
        <w:jc w:val="both"/>
        <w:rPr>
          <w:sz w:val="24"/>
          <w:szCs w:val="24"/>
        </w:rPr>
      </w:pPr>
      <w:r>
        <w:rPr>
          <w:sz w:val="24"/>
          <w:szCs w:val="24"/>
          <w:lang w:val="en-US"/>
        </w:rPr>
        <w:t xml:space="preserve">Encouraging the use of public amenities or environmental beneficial options like public transport systems by charging concessional prices; </w:t>
      </w:r>
    </w:p>
    <w:p w14:paraId="49636D13">
      <w:pPr>
        <w:pStyle w:val="3"/>
        <w:spacing w:line="360" w:lineRule="auto"/>
        <w:jc w:val="both"/>
        <w:rPr>
          <w:sz w:val="24"/>
          <w:szCs w:val="24"/>
        </w:rPr>
      </w:pPr>
      <w:r>
        <w:rPr>
          <w:sz w:val="24"/>
          <w:szCs w:val="24"/>
          <w:lang w:val="en-US"/>
        </w:rPr>
        <w:t xml:space="preserve">Executing their social mandate to provide certain services without charging students. </w:t>
      </w:r>
    </w:p>
    <w:p w14:paraId="1E738275">
      <w:pPr>
        <w:pStyle w:val="3"/>
        <w:spacing w:line="360" w:lineRule="auto"/>
        <w:jc w:val="both"/>
        <w:rPr>
          <w:sz w:val="24"/>
          <w:szCs w:val="24"/>
        </w:rPr>
      </w:pPr>
      <w:r>
        <w:rPr>
          <w:rFonts w:ascii="Helvetica Neue" w:hAnsi="Helvetica Neue"/>
          <w:b/>
          <w:bCs/>
          <w:sz w:val="24"/>
          <w:szCs w:val="24"/>
          <w:lang w:val="en-US"/>
        </w:rPr>
        <w:t>Civic Crowdfunding:</w:t>
      </w:r>
      <w:r>
        <w:rPr>
          <w:sz w:val="24"/>
          <w:szCs w:val="24"/>
          <w:lang w:val="en-US"/>
        </w:rPr>
        <w:t xml:space="preserve"> UNIVERSITY OF NIGERIA is dear to the hearts of many Nigerians from old eastern Nigeria and can easily key into civic crowdfunding to improve the structures and services offered by UNN. This is often done in collaboration with the University, propose and fund projects aimed at improving public spaces or services. It provides a new mode of civic engagement, allowing alumni, parents or current students, individuals, communities to directly contribute to projects they care about within the University. </w:t>
      </w:r>
    </w:p>
    <w:p w14:paraId="1F72B1AB">
      <w:pPr>
        <w:pStyle w:val="3"/>
        <w:spacing w:line="360" w:lineRule="auto"/>
        <w:jc w:val="both"/>
        <w:rPr>
          <w:rFonts w:ascii="Helvetica Neue" w:hAnsi="Helvetica Neue" w:eastAsia="Helvetica Neue" w:cs="Helvetica Neue"/>
          <w:b/>
          <w:bCs/>
          <w:sz w:val="24"/>
          <w:szCs w:val="24"/>
        </w:rPr>
      </w:pPr>
      <w:r>
        <w:rPr>
          <w:rFonts w:ascii="Helvetica Neue" w:hAnsi="Helvetica Neue"/>
          <w:b/>
          <w:bCs/>
          <w:sz w:val="24"/>
          <w:szCs w:val="24"/>
          <w:lang w:val="de-DE"/>
        </w:rPr>
        <w:t>Debt</w:t>
      </w:r>
    </w:p>
    <w:p w14:paraId="0E16B37B">
      <w:pPr>
        <w:pStyle w:val="3"/>
        <w:spacing w:line="360" w:lineRule="auto"/>
        <w:jc w:val="both"/>
        <w:rPr>
          <w:rFonts w:ascii="Helvetica Neue" w:hAnsi="Helvetica Neue" w:eastAsia="Helvetica Neue" w:cs="Helvetica Neue"/>
          <w:b/>
          <w:bCs/>
          <w:sz w:val="24"/>
          <w:szCs w:val="24"/>
        </w:rPr>
      </w:pPr>
      <w:r>
        <w:rPr>
          <w:sz w:val="24"/>
          <w:szCs w:val="24"/>
          <w:lang w:val="en-US"/>
        </w:rPr>
        <w:t xml:space="preserve">Debt is defined as an amount owed to a person or organization for funds borrowed. Debt can be represented by a loan agreement, loan note, bond, mortgage, or other form stating repayment terms and interest requirements. These different forms all imply intent to pay back an amount owed by a specific date, which is set forth in the repayment terms. </w:t>
      </w:r>
    </w:p>
    <w:p w14:paraId="76A0D672">
      <w:pPr>
        <w:pStyle w:val="3"/>
        <w:spacing w:line="360" w:lineRule="auto"/>
        <w:jc w:val="both"/>
        <w:rPr>
          <w:rFonts w:ascii="Helvetica Neue" w:hAnsi="Helvetica Neue" w:eastAsia="Helvetica Neue" w:cs="Helvetica Neue"/>
          <w:b/>
          <w:bCs/>
          <w:sz w:val="24"/>
          <w:szCs w:val="24"/>
        </w:rPr>
      </w:pPr>
      <w:r>
        <w:rPr>
          <w:rFonts w:ascii="Helvetica Neue" w:hAnsi="Helvetica Neue"/>
          <w:b/>
          <w:bCs/>
          <w:sz w:val="24"/>
          <w:szCs w:val="24"/>
          <w:lang w:val="en-US"/>
        </w:rPr>
        <w:t xml:space="preserve">Debt can be raised through: </w:t>
      </w:r>
    </w:p>
    <w:p w14:paraId="134FD9B0">
      <w:pPr>
        <w:pStyle w:val="3"/>
        <w:spacing w:line="360" w:lineRule="auto"/>
        <w:jc w:val="both"/>
        <w:rPr>
          <w:sz w:val="24"/>
          <w:szCs w:val="24"/>
        </w:rPr>
      </w:pPr>
      <w:r>
        <w:rPr>
          <w:rFonts w:ascii="Helvetica Neue" w:hAnsi="Helvetica Neue"/>
          <w:b/>
          <w:bCs/>
          <w:sz w:val="24"/>
          <w:szCs w:val="24"/>
        </w:rPr>
        <w:t>Bank Loans:</w:t>
      </w:r>
      <w:r>
        <w:rPr>
          <w:sz w:val="24"/>
          <w:szCs w:val="24"/>
          <w:lang w:val="en-US"/>
        </w:rPr>
        <w:t xml:space="preserve"> These represent the most common form of debt funding and can be availed in various forms with respect to the repayment facilities, tenure of the loan, interest payment options (floating or fixed), and currency denomination. Bank loans are structured on the basis of the expected project cash flows, with a moratorium or grace period (during construction phase), interest payment, and principal repayment schedule. Bank loans are generally fully secured and have recourse to project assets in the event of any default. Given that PPP projects are highly capital intensive in nature, they are often funded using a high proportion of debt (to reduce overall funding costs). To reduce individual exposure, banks often prefer to be part of a consortium or </w:t>
      </w:r>
      <w:r>
        <w:rPr>
          <w:sz w:val="24"/>
          <w:szCs w:val="24"/>
          <w:rtl/>
        </w:rPr>
        <w:t>‘</w:t>
      </w:r>
      <w:r>
        <w:rPr>
          <w:sz w:val="24"/>
          <w:szCs w:val="24"/>
          <w:lang w:val="fr-FR"/>
        </w:rPr>
        <w:t>syndicate</w:t>
      </w:r>
      <w:r>
        <w:rPr>
          <w:sz w:val="24"/>
          <w:szCs w:val="24"/>
          <w:rtl/>
        </w:rPr>
        <w:t xml:space="preserve">’ </w:t>
      </w:r>
      <w:r>
        <w:rPr>
          <w:sz w:val="24"/>
          <w:szCs w:val="24"/>
          <w:lang w:val="en-US"/>
        </w:rPr>
        <w:t xml:space="preserve">of banks. One bank often acts as the </w:t>
      </w:r>
      <w:r>
        <w:rPr>
          <w:sz w:val="24"/>
          <w:szCs w:val="24"/>
          <w:rtl/>
          <w:lang w:val="ar-SA"/>
        </w:rPr>
        <w:t>“</w:t>
      </w:r>
      <w:r>
        <w:rPr>
          <w:sz w:val="24"/>
          <w:szCs w:val="24"/>
          <w:lang w:val="en-US"/>
        </w:rPr>
        <w:t>lead or arranging bank</w:t>
      </w:r>
      <w:r>
        <w:rPr>
          <w:sz w:val="24"/>
          <w:szCs w:val="24"/>
        </w:rPr>
        <w:t>”.</w:t>
      </w:r>
    </w:p>
    <w:p w14:paraId="795EFB97">
      <w:pPr>
        <w:pStyle w:val="3"/>
        <w:spacing w:line="360" w:lineRule="auto"/>
        <w:jc w:val="both"/>
        <w:rPr>
          <w:sz w:val="24"/>
          <w:szCs w:val="24"/>
        </w:rPr>
      </w:pPr>
      <w:r>
        <w:rPr>
          <w:rFonts w:ascii="Helvetica Neue" w:hAnsi="Helvetica Neue"/>
          <w:b/>
          <w:bCs/>
          <w:sz w:val="24"/>
          <w:szCs w:val="24"/>
          <w:lang w:val="nl-NL"/>
        </w:rPr>
        <w:t>Bonds:</w:t>
      </w:r>
      <w:r>
        <w:rPr>
          <w:sz w:val="24"/>
          <w:szCs w:val="24"/>
          <w:lang w:val="en-US"/>
        </w:rPr>
        <w:t xml:space="preserve"> Bonds represent the debt funding raised for a project from the capital markets.The benefit of a bond issuance is that many different investors can be brought together, many of which only take a small piece of the project loan. Investors in a bond issue can be broadly categorised as (1) banks and financial institutions; (2) insurance companies, provident funds, and pension funds; (3) mutual funds; and (4) retail investors. </w:t>
      </w:r>
    </w:p>
    <w:p w14:paraId="4BE6DB12">
      <w:pPr>
        <w:pStyle w:val="3"/>
        <w:spacing w:line="360" w:lineRule="auto"/>
        <w:jc w:val="both"/>
        <w:rPr>
          <w:sz w:val="24"/>
          <w:szCs w:val="24"/>
        </w:rPr>
      </w:pPr>
    </w:p>
    <w:p w14:paraId="726F2E1B">
      <w:pPr>
        <w:pStyle w:val="3"/>
        <w:spacing w:line="360" w:lineRule="auto"/>
        <w:jc w:val="both"/>
        <w:rPr>
          <w:sz w:val="24"/>
          <w:szCs w:val="24"/>
        </w:rPr>
      </w:pPr>
      <w:r>
        <w:rPr>
          <w:rFonts w:ascii="Helvetica Neue" w:hAnsi="Helvetica Neue"/>
          <w:b/>
          <w:bCs/>
          <w:sz w:val="24"/>
          <w:szCs w:val="24"/>
        </w:rPr>
        <w:t>Multilateral Agencies:</w:t>
      </w:r>
      <w:r>
        <w:rPr>
          <w:sz w:val="24"/>
          <w:szCs w:val="24"/>
          <w:lang w:val="en-US"/>
        </w:rPr>
        <w:t xml:space="preserve"> International institutions, such as the World Bank private sector lending organisation, the International Finance Corporation, European Investment Bank, and the various regional development banks are major financiers of PPP projects globally in developing countries. While multilateral agencies follow the same debt structures as purely private lenders, they do have some unique characteristics that make them good partners for infrastructure projects. For example, multilateral agencies typically lend for long-duration projects, are focused on projects with high economic development impacts, and provide technical guidance throughout the project lifecycle. They can also take the back-end loan maturities where national and international banks will only provide short to medium term loan maturities. In addition, with the requirement of banks for higher debt: equity ratios with resultant higher equity amounts being required, they can participate in the equity of the SPV. </w:t>
      </w:r>
    </w:p>
    <w:p w14:paraId="2E48C994">
      <w:pPr>
        <w:pStyle w:val="3"/>
        <w:spacing w:line="360" w:lineRule="auto"/>
        <w:jc w:val="both"/>
        <w:rPr>
          <w:sz w:val="24"/>
          <w:szCs w:val="24"/>
        </w:rPr>
      </w:pPr>
    </w:p>
    <w:p w14:paraId="396A11B3">
      <w:pPr>
        <w:pStyle w:val="3"/>
        <w:spacing w:line="360" w:lineRule="auto"/>
        <w:jc w:val="both"/>
        <w:rPr>
          <w:rFonts w:ascii="Helvetica Neue" w:hAnsi="Helvetica Neue" w:eastAsia="Helvetica Neue" w:cs="Helvetica Neue"/>
          <w:b/>
          <w:bCs/>
          <w:sz w:val="24"/>
          <w:szCs w:val="24"/>
        </w:rPr>
      </w:pPr>
      <w:r>
        <w:rPr>
          <w:rFonts w:ascii="Helvetica Neue" w:hAnsi="Helvetica Neue"/>
          <w:b/>
          <w:bCs/>
          <w:sz w:val="24"/>
          <w:szCs w:val="24"/>
        </w:rPr>
        <w:t>Hybrid Fund</w:t>
      </w:r>
    </w:p>
    <w:p w14:paraId="3535DF30">
      <w:pPr>
        <w:pStyle w:val="3"/>
        <w:spacing w:line="360" w:lineRule="auto"/>
        <w:jc w:val="both"/>
        <w:rPr>
          <w:rFonts w:ascii="Helvetica Neue" w:hAnsi="Helvetica Neue" w:eastAsia="Helvetica Neue" w:cs="Helvetica Neue"/>
          <w:b/>
          <w:bCs/>
          <w:sz w:val="24"/>
          <w:szCs w:val="24"/>
        </w:rPr>
      </w:pPr>
      <w:r>
        <w:rPr>
          <w:rFonts w:ascii="Helvetica Neue" w:hAnsi="Helvetica Neue"/>
          <w:b/>
          <w:bCs/>
          <w:sz w:val="24"/>
          <w:szCs w:val="24"/>
          <w:lang w:val="en-US"/>
        </w:rPr>
        <w:t xml:space="preserve">Mezzanine Funding or Quasi Equity </w:t>
      </w:r>
    </w:p>
    <w:p w14:paraId="6EC00223">
      <w:pPr>
        <w:pStyle w:val="3"/>
        <w:spacing w:line="360" w:lineRule="auto"/>
        <w:jc w:val="both"/>
        <w:rPr>
          <w:sz w:val="24"/>
          <w:szCs w:val="24"/>
        </w:rPr>
      </w:pPr>
      <w:r>
        <w:rPr>
          <w:sz w:val="24"/>
          <w:szCs w:val="24"/>
          <w:lang w:val="en-US"/>
        </w:rPr>
        <w:t xml:space="preserve">Mezzanine financing or quasi- equity represents a form of equity midway between senior debt and real equity and has features of equity and debt financing. It can assume the forms of subordinated loans, convertible subordinate loans, redeemable preference shares, or debt issued with stock warrants, and takes greater risks than senior debt since it is generally subordinate in terms of collateral rights over security and rights to cash flow. Such debt, at times, is usually also unsecured other than by the project cash flow in which case the rate of interest charged would be significantly higher than that charged for senior debt. </w:t>
      </w:r>
    </w:p>
    <w:p w14:paraId="571EE06A">
      <w:pPr>
        <w:pStyle w:val="3"/>
        <w:spacing w:line="360" w:lineRule="auto"/>
        <w:jc w:val="both"/>
        <w:rPr>
          <w:sz w:val="24"/>
          <w:szCs w:val="24"/>
        </w:rPr>
      </w:pPr>
    </w:p>
    <w:p w14:paraId="56942B55">
      <w:pPr>
        <w:pStyle w:val="3"/>
        <w:spacing w:line="360" w:lineRule="auto"/>
        <w:jc w:val="both"/>
        <w:rPr>
          <w:sz w:val="24"/>
          <w:szCs w:val="24"/>
        </w:rPr>
      </w:pPr>
      <w:r>
        <w:rPr>
          <w:sz w:val="24"/>
          <w:szCs w:val="24"/>
          <w:lang w:val="en-US"/>
        </w:rPr>
        <w:t>It can have one other major advantage. The interest on quasi equity can be offset against SPV corporate tax, whereas dividends are paid from post corporate tax revenue. The use of quasi equity can therefore lower the cost of equity and reduce the cost of any necessary government.</w:t>
      </w:r>
    </w:p>
    <w:p w14:paraId="0D4F3A24">
      <w:pPr>
        <w:pStyle w:val="3"/>
        <w:spacing w:line="360" w:lineRule="auto"/>
        <w:jc w:val="both"/>
        <w:rPr>
          <w:sz w:val="24"/>
          <w:szCs w:val="24"/>
        </w:rPr>
      </w:pPr>
    </w:p>
    <w:p w14:paraId="33763DE3">
      <w:pPr>
        <w:pStyle w:val="3"/>
        <w:spacing w:line="360" w:lineRule="auto"/>
        <w:jc w:val="both"/>
        <w:rPr>
          <w:rFonts w:ascii="Helvetica Neue" w:hAnsi="Helvetica Neue" w:eastAsia="Helvetica Neue" w:cs="Helvetica Neue"/>
          <w:b/>
          <w:bCs/>
          <w:sz w:val="24"/>
          <w:szCs w:val="24"/>
        </w:rPr>
      </w:pPr>
      <w:r>
        <w:rPr>
          <w:rFonts w:ascii="Helvetica Neue" w:hAnsi="Helvetica Neue"/>
          <w:b/>
          <w:bCs/>
          <w:sz w:val="24"/>
          <w:szCs w:val="24"/>
          <w:lang w:val="en-US"/>
        </w:rPr>
        <w:t>Government Support</w:t>
      </w:r>
    </w:p>
    <w:p w14:paraId="5A30F9E4">
      <w:pPr>
        <w:pStyle w:val="3"/>
        <w:spacing w:line="360" w:lineRule="auto"/>
        <w:jc w:val="both"/>
        <w:rPr>
          <w:sz w:val="24"/>
          <w:szCs w:val="24"/>
        </w:rPr>
      </w:pPr>
      <w:r>
        <w:rPr>
          <w:sz w:val="24"/>
          <w:szCs w:val="24"/>
          <w:lang w:val="en-US"/>
        </w:rPr>
        <w:t xml:space="preserve">In specific cases, especially in high risk and/or high developmental impact projects, Federal or State governments (Enugu State) might contribute funds to enhance the viability of the project. A key reason for this may be to make the project </w:t>
      </w:r>
      <w:r>
        <w:rPr>
          <w:sz w:val="24"/>
          <w:szCs w:val="24"/>
          <w:rtl/>
          <w:lang w:val="ar-SA"/>
        </w:rPr>
        <w:t>“</w:t>
      </w:r>
      <w:r>
        <w:rPr>
          <w:sz w:val="24"/>
          <w:szCs w:val="24"/>
        </w:rPr>
        <w:t xml:space="preserve">bankable” </w:t>
      </w:r>
      <w:r>
        <w:rPr>
          <w:sz w:val="24"/>
          <w:szCs w:val="24"/>
          <w:lang w:val="en-US"/>
        </w:rPr>
        <w:t>or more viable to the private sector. Somereasons for government support may include:</w:t>
      </w:r>
      <w:r>
        <w:rPr>
          <w:sz w:val="24"/>
          <w:szCs w:val="24"/>
        </w:rPr>
        <w:br w:type="textWrapping"/>
      </w:r>
      <w:r>
        <w:rPr>
          <w:sz w:val="24"/>
          <w:szCs w:val="24"/>
          <w:lang w:val="en-US"/>
        </w:rPr>
        <w:t xml:space="preserve">Supporting economically and socially weaker sections of society who cannot pay commercial prices for basic services;Encouraging the use of public amenities or environmental beneficial options like public transport Executing their social mandate to provide certain services without charging citizens, such as senior citizens. </w:t>
      </w:r>
    </w:p>
    <w:p w14:paraId="23EF8429">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36ADD4B0">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45C53BD4">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3A951054">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03A037F7">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348FC337">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0A40EF93">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78337EAA">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6A8F3CA9">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141717CF">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2B6ACC81">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bookmarkStart w:id="107" w:name="_GoBack"/>
      <w:bookmarkEnd w:id="107"/>
    </w:p>
    <w:p w14:paraId="3B342B3C">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5B6B6361">
      <w:pPr>
        <w:pStyle w:val="24"/>
        <w:jc w:val="both"/>
        <w:rPr>
          <w:rFonts w:ascii="Helvetica Neue" w:hAnsi="Helvetica Neue" w:eastAsia="Helvetica Neue" w:cs="Helvetica Neue"/>
          <w:b/>
          <w:bCs/>
          <w:color w:val="000000"/>
        </w:rPr>
      </w:pPr>
      <w:bookmarkStart w:id="104" w:name="_Toc103"/>
      <w:r>
        <w:rPr>
          <w:rFonts w:ascii="Helvetica Neue" w:hAnsi="Helvetica Neue"/>
          <w:b/>
          <w:bCs/>
          <w:color w:val="000000"/>
          <w:lang w:val="en-US"/>
        </w:rPr>
        <w:t>Annexes III: MONITORING AND EVALUATION FRAMEWORK FOR PUBLIC-PRIVATE PARTNERSHIP INITIATIVES IN UNIVERSITY OF NIGERIA PROJECTS</w:t>
      </w:r>
      <w:bookmarkEnd w:id="104"/>
    </w:p>
    <w:p w14:paraId="41D05E20">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71B7BBF3">
      <w:pPr>
        <w:pStyle w:val="3"/>
        <w:jc w:val="both"/>
        <w:rPr>
          <w:sz w:val="24"/>
          <w:szCs w:val="24"/>
        </w:rPr>
      </w:pPr>
      <w:r>
        <w:rPr>
          <w:sz w:val="24"/>
          <w:szCs w:val="24"/>
          <w:lang w:val="en-US"/>
        </w:rPr>
        <w:t>Institutional Level the results chain, in alignment with four strategic objectives of PPP initiatives in the University of Nigeria:</w:t>
      </w:r>
    </w:p>
    <w:p w14:paraId="30B260AD">
      <w:pPr>
        <w:pStyle w:val="3"/>
        <w:numPr>
          <w:ilvl w:val="2"/>
          <w:numId w:val="78"/>
        </w:numPr>
        <w:jc w:val="both"/>
        <w:rPr>
          <w:sz w:val="24"/>
          <w:szCs w:val="24"/>
          <w:lang w:val="en-US"/>
        </w:rPr>
      </w:pPr>
      <w:r>
        <w:rPr>
          <w:sz w:val="24"/>
          <w:szCs w:val="24"/>
          <w:lang w:val="en-US"/>
        </w:rPr>
        <w:t>Modernize and expand University infrastructure capacity</w:t>
      </w:r>
    </w:p>
    <w:p w14:paraId="46338904">
      <w:pPr>
        <w:pStyle w:val="3"/>
        <w:numPr>
          <w:ilvl w:val="2"/>
          <w:numId w:val="78"/>
        </w:numPr>
        <w:jc w:val="both"/>
        <w:rPr>
          <w:sz w:val="24"/>
          <w:szCs w:val="24"/>
          <w:lang w:val="en-US"/>
        </w:rPr>
      </w:pPr>
      <w:r>
        <w:rPr>
          <w:sz w:val="24"/>
          <w:szCs w:val="24"/>
          <w:lang w:val="en-US"/>
        </w:rPr>
        <w:t>Achieve long-term financial viability</w:t>
      </w:r>
    </w:p>
    <w:p w14:paraId="421C32D3">
      <w:pPr>
        <w:pStyle w:val="3"/>
        <w:numPr>
          <w:ilvl w:val="2"/>
          <w:numId w:val="78"/>
        </w:numPr>
        <w:jc w:val="both"/>
        <w:rPr>
          <w:sz w:val="24"/>
          <w:szCs w:val="24"/>
          <w:lang w:val="en-US"/>
        </w:rPr>
      </w:pPr>
      <w:r>
        <w:rPr>
          <w:sz w:val="24"/>
          <w:szCs w:val="24"/>
          <w:lang w:val="en-US"/>
        </w:rPr>
        <w:t>Enhance service quality and delivery excellence</w:t>
      </w:r>
    </w:p>
    <w:p w14:paraId="4ED6905C">
      <w:pPr>
        <w:pStyle w:val="3"/>
        <w:numPr>
          <w:ilvl w:val="2"/>
          <w:numId w:val="78"/>
        </w:numPr>
        <w:jc w:val="both"/>
        <w:rPr>
          <w:sz w:val="24"/>
          <w:szCs w:val="24"/>
          <w:lang w:val="en-US"/>
        </w:rPr>
      </w:pPr>
      <w:r>
        <w:rPr>
          <w:sz w:val="24"/>
          <w:szCs w:val="24"/>
          <w:lang w:val="en-US"/>
        </w:rPr>
        <w:t>Enhance University access and institutional attractiveness</w:t>
      </w:r>
    </w:p>
    <w:p w14:paraId="186CECBF">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25C30E44">
      <w:pPr>
        <w:pStyle w:val="3"/>
        <w:spacing w:line="360" w:lineRule="auto"/>
        <w:jc w:val="both"/>
        <w:rPr>
          <w:sz w:val="24"/>
          <w:szCs w:val="24"/>
        </w:rPr>
      </w:pPr>
      <w:r>
        <w:rPr>
          <w:sz w:val="24"/>
          <w:szCs w:val="24"/>
          <w:lang w:val="en-US"/>
        </w:rPr>
        <w:t>The University of Nigeria</w:t>
      </w:r>
      <w:r>
        <w:rPr>
          <w:sz w:val="24"/>
          <w:szCs w:val="24"/>
          <w:rtl/>
        </w:rPr>
        <w:t>’</w:t>
      </w:r>
      <w:r>
        <w:rPr>
          <w:sz w:val="24"/>
          <w:szCs w:val="24"/>
          <w:lang w:val="en-US"/>
        </w:rPr>
        <w:t>s M&amp; E framework is grounded in the University</w:t>
      </w:r>
      <w:r>
        <w:rPr>
          <w:sz w:val="24"/>
          <w:szCs w:val="24"/>
          <w:rtl/>
        </w:rPr>
        <w:t>’</w:t>
      </w:r>
      <w:r>
        <w:rPr>
          <w:sz w:val="24"/>
          <w:szCs w:val="24"/>
          <w:lang w:val="en-US"/>
        </w:rPr>
        <w:t xml:space="preserve">s core values </w:t>
      </w:r>
      <w:r>
        <w:rPr>
          <w:sz w:val="24"/>
          <w:szCs w:val="24"/>
        </w:rPr>
        <w:t xml:space="preserve">– </w:t>
      </w:r>
      <w:r>
        <w:rPr>
          <w:sz w:val="24"/>
          <w:szCs w:val="24"/>
          <w:lang w:val="en-US"/>
        </w:rPr>
        <w:t>integrity, excellence, transparency, accountability and fairness. The framework is made simple enough for people with M&amp;E responsibility to adapt in the most efficient possible manner. Moreover, this document ensures that the indicators are not generic and have all the attributes of a SMART indicator i.e. Specific, Measurable, Achievable, Relevant, and Time-bound.support.</w:t>
      </w:r>
    </w:p>
    <w:p w14:paraId="470706FE">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73A41244">
      <w:pPr>
        <w:pStyle w:val="3"/>
        <w:spacing w:line="360" w:lineRule="auto"/>
        <w:rPr>
          <w:rFonts w:ascii="Helvetica Neue" w:hAnsi="Helvetica Neue" w:eastAsia="Helvetica Neue" w:cs="Helvetica Neue"/>
          <w:b/>
          <w:bCs/>
          <w:sz w:val="24"/>
          <w:szCs w:val="24"/>
        </w:rPr>
      </w:pPr>
      <w:r>
        <w:rPr>
          <w:rFonts w:ascii="Helvetica Neue" w:hAnsi="Helvetica Neue"/>
          <w:b/>
          <w:bCs/>
          <w:sz w:val="24"/>
          <w:szCs w:val="24"/>
          <w:lang w:val="en-US"/>
        </w:rPr>
        <w:t>1.2. Goal and Objectives of the Monitoring and Evaluation Framework</w:t>
      </w:r>
    </w:p>
    <w:p w14:paraId="785DAC4B">
      <w:pPr>
        <w:pStyle w:val="3"/>
        <w:spacing w:line="360" w:lineRule="auto"/>
        <w:rPr>
          <w:sz w:val="24"/>
          <w:szCs w:val="24"/>
        </w:rPr>
      </w:pPr>
      <w:r>
        <w:rPr>
          <w:sz w:val="24"/>
          <w:szCs w:val="24"/>
          <w:lang w:val="en-US"/>
        </w:rPr>
        <w:t xml:space="preserve">The goal of the Public-Private Partnership Monitoring and Evaluation Framework (PPP-MEF) of the University of Nigeria is to track, assess and improve the performance of PPP projects and processes, ensuring that they meet their set goals.  The specific objectives of the framework are to: </w:t>
      </w:r>
    </w:p>
    <w:p w14:paraId="3CA7A12C">
      <w:pPr>
        <w:pStyle w:val="3"/>
        <w:numPr>
          <w:ilvl w:val="1"/>
          <w:numId w:val="79"/>
        </w:numPr>
      </w:pPr>
      <w:r>
        <w:rPr>
          <w:rFonts w:eastAsia="Arial Unicode MS" w:cs="Arial Unicode MS"/>
          <w:lang w:val="en-US"/>
        </w:rPr>
        <w:t>To establish standardized monitoring and evaluation processes that effectively track the progress and performance of PPP initiatives in the University of Nigeria</w:t>
      </w:r>
    </w:p>
    <w:p w14:paraId="05DEEC6E">
      <w:pPr>
        <w:pStyle w:val="3"/>
        <w:numPr>
          <w:ilvl w:val="1"/>
          <w:numId w:val="79"/>
        </w:numPr>
      </w:pPr>
      <w:r>
        <w:rPr>
          <w:rFonts w:eastAsia="Arial Unicode MS" w:cs="Arial Unicode MS"/>
          <w:lang w:val="en-US"/>
        </w:rPr>
        <w:t>To enhance accountability and transparency in all PPP projects and operations</w:t>
      </w:r>
    </w:p>
    <w:p w14:paraId="5420EA76">
      <w:pPr>
        <w:pStyle w:val="3"/>
        <w:numPr>
          <w:ilvl w:val="1"/>
          <w:numId w:val="79"/>
        </w:numPr>
      </w:pPr>
      <w:r>
        <w:rPr>
          <w:rFonts w:eastAsia="Arial Unicode MS" w:cs="Arial Unicode MS"/>
          <w:lang w:val="en-US"/>
        </w:rPr>
        <w:t>To generate timely, reliable data that supports University Management in making informed institutional decisions</w:t>
      </w:r>
    </w:p>
    <w:p w14:paraId="0DCF9B0B">
      <w:pPr>
        <w:pStyle w:val="3"/>
        <w:numPr>
          <w:ilvl w:val="1"/>
          <w:numId w:val="79"/>
        </w:numPr>
      </w:pPr>
      <w:r>
        <w:rPr>
          <w:rFonts w:eastAsia="Arial Unicode MS" w:cs="Arial Unicode MS"/>
          <w:lang w:val="en-US"/>
        </w:rPr>
        <w:t>To promote continuous organisational learning through the documentation and sharing of challenges,</w:t>
      </w:r>
      <w:r>
        <w:rPr>
          <w:lang w:val="en-US" w:eastAsia="en-US"/>
        </w:rPr>
        <w:drawing>
          <wp:anchor distT="152400" distB="152400" distL="152400" distR="152400" simplePos="0" relativeHeight="251663360" behindDoc="0" locked="0" layoutInCell="1" allowOverlap="1">
            <wp:simplePos x="0" y="0"/>
            <wp:positionH relativeFrom="margin">
              <wp:posOffset>88900</wp:posOffset>
            </wp:positionH>
            <wp:positionV relativeFrom="line">
              <wp:posOffset>327025</wp:posOffset>
            </wp:positionV>
            <wp:extent cx="5842000" cy="5918200"/>
            <wp:effectExtent l="0" t="0" r="0" b="0"/>
            <wp:wrapThrough wrapText="bothSides">
              <wp:wrapPolygon>
                <wp:start x="0" y="0"/>
                <wp:lineTo x="21600" y="0"/>
                <wp:lineTo x="21600" y="21600"/>
                <wp:lineTo x="0" y="21600"/>
                <wp:lineTo x="0" y="0"/>
              </wp:wrapPolygon>
            </wp:wrapThrough>
            <wp:docPr id="1073741836" name="officeArt object"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officeArt object" descr="Image"/>
                    <pic:cNvPicPr>
                      <a:picLocks noChangeAspect="1"/>
                    </pic:cNvPicPr>
                  </pic:nvPicPr>
                  <pic:blipFill>
                    <a:blip r:embed="rId18"/>
                    <a:stretch>
                      <a:fillRect/>
                    </a:stretch>
                  </pic:blipFill>
                  <pic:spPr>
                    <a:xfrm>
                      <a:off x="0" y="0"/>
                      <a:ext cx="5842000" cy="5918200"/>
                    </a:xfrm>
                    <a:prstGeom prst="rect">
                      <a:avLst/>
                    </a:prstGeom>
                    <a:ln w="12700" cap="flat">
                      <a:noFill/>
                      <a:miter lim="400000"/>
                      <a:headEnd/>
                      <a:tailEnd/>
                    </a:ln>
                    <a:effectLst/>
                  </pic:spPr>
                </pic:pic>
              </a:graphicData>
            </a:graphic>
          </wp:anchor>
        </w:drawing>
      </w:r>
      <w:r>
        <w:rPr>
          <w:rFonts w:eastAsia="Arial Unicode MS" w:cs="Arial Unicode MS"/>
          <w:lang w:val="en-US"/>
        </w:rPr>
        <w:t xml:space="preserve"> lessons learned, and best practices in PPP.</w:t>
      </w:r>
    </w:p>
    <w:p w14:paraId="707BB73B">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left="720" w:right="140"/>
        <w:jc w:val="both"/>
        <w:rPr>
          <w:rFonts w:ascii="Times New Roman" w:hAnsi="Times New Roman" w:eastAsia="Times New Roman" w:cs="Times New Roman"/>
          <w:sz w:val="24"/>
          <w:szCs w:val="24"/>
        </w:rPr>
      </w:pPr>
    </w:p>
    <w:p w14:paraId="55314227">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r>
        <w:rPr>
          <w:rFonts w:ascii="Times New Roman" w:hAnsi="Times New Roman"/>
          <w:sz w:val="24"/>
          <w:szCs w:val="24"/>
          <w:lang w:val="en-US"/>
        </w:rPr>
        <w:t>The results Framework and its implications to Monitoring and Evaluation of PPP projects</w:t>
      </w:r>
    </w:p>
    <w:p w14:paraId="5DC3A569">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r>
        <w:rPr>
          <w:rFonts w:ascii="Times New Roman" w:hAnsi="Times New Roman"/>
          <w:sz w:val="24"/>
          <w:szCs w:val="24"/>
          <w:lang w:val="en-US"/>
        </w:rPr>
        <w:t xml:space="preserve"> Figure 1: Results Framework</w:t>
      </w:r>
    </w:p>
    <w:p w14:paraId="35ADA5C8">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61BDAE10">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44CB95CC">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513E81DC">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6608AB16">
      <w:pPr>
        <w:pStyle w:val="3"/>
        <w:jc w:val="both"/>
        <w:rPr>
          <w:sz w:val="24"/>
          <w:szCs w:val="24"/>
        </w:rPr>
      </w:pPr>
      <w:r>
        <w:rPr>
          <w:sz w:val="24"/>
          <w:szCs w:val="24"/>
          <w:lang w:val="en-US"/>
        </w:rPr>
        <w:t>Therefore, every PPP project is expected to adapt this results chain to its specific context while maintaining alignment with the university's strategic objectives. Projects should select relevant indicators from the institutional menu (See logical framework in part 2), customise data collection methods to their operational environment, and develop project-specific outcomes that clearly contribute to the achievement of the university</w:t>
      </w:r>
      <w:r>
        <w:rPr>
          <w:sz w:val="24"/>
          <w:szCs w:val="24"/>
          <w:rtl/>
        </w:rPr>
        <w:t>’</w:t>
      </w:r>
      <w:r>
        <w:rPr>
          <w:sz w:val="24"/>
          <w:szCs w:val="24"/>
          <w:lang w:val="en-US"/>
        </w:rPr>
        <w:t>s goals. This adaptation process ensures that irrespective of the `nature of the project - infrastructure development, technology modernisation, service delivery, etc, individual project successes aggregate into institutional transformation. Each project becomes a building block in the larger vision.</w:t>
      </w:r>
    </w:p>
    <w:p w14:paraId="759866D9">
      <w:pPr>
        <w:pStyle w:val="3"/>
        <w:jc w:val="both"/>
        <w:rPr>
          <w:sz w:val="24"/>
          <w:szCs w:val="24"/>
        </w:rPr>
      </w:pPr>
      <w:r>
        <w:rPr>
          <w:sz w:val="24"/>
          <w:szCs w:val="24"/>
          <w:lang w:val="en-US"/>
        </w:rPr>
        <w:t xml:space="preserve">Monitoring and evaluation are essential for making this results chain operational and effective. M&amp;E provides the systematic tracking and measurement needed to verify that activities are producing intended outputs, outcomes are being achieved as planned, and projects are contributing to institutional impacts. </w:t>
      </w:r>
    </w:p>
    <w:p w14:paraId="72AE7656">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29FEA37A">
      <w:pPr>
        <w:pStyle w:val="2"/>
        <w:rPr>
          <w:color w:val="000000"/>
          <w:sz w:val="24"/>
          <w:szCs w:val="24"/>
        </w:rPr>
      </w:pPr>
      <w:bookmarkStart w:id="105" w:name="_Toc104"/>
      <w:r>
        <w:rPr>
          <w:color w:val="000000"/>
          <w:sz w:val="24"/>
          <w:szCs w:val="24"/>
          <w:lang w:val="en-US"/>
        </w:rPr>
        <w:t xml:space="preserve">Key Benefits of the Framework </w:t>
      </w:r>
      <w:bookmarkEnd w:id="105"/>
    </w:p>
    <w:p w14:paraId="28D237E5">
      <w:pPr>
        <w:pStyle w:val="3"/>
        <w:rPr>
          <w:sz w:val="24"/>
          <w:szCs w:val="24"/>
        </w:rPr>
      </w:pPr>
      <w:r>
        <w:rPr>
          <w:sz w:val="24"/>
          <w:szCs w:val="24"/>
          <w:lang w:val="en-US"/>
        </w:rPr>
        <w:t>The institutionalisation of this framework will deliver the following key benefits to the University:</w:t>
      </w:r>
    </w:p>
    <w:p w14:paraId="23B704FD">
      <w:pPr>
        <w:pStyle w:val="3"/>
        <w:numPr>
          <w:ilvl w:val="1"/>
          <w:numId w:val="80"/>
        </w:numPr>
        <w:rPr>
          <w:sz w:val="24"/>
          <w:szCs w:val="24"/>
          <w:lang w:val="en-US"/>
        </w:rPr>
      </w:pPr>
      <w:r>
        <w:rPr>
          <w:sz w:val="24"/>
          <w:szCs w:val="24"/>
          <w:lang w:val="en-US"/>
        </w:rPr>
        <w:t>A complete, integrated M&amp;E system with effective coordination across all levels</w:t>
      </w:r>
    </w:p>
    <w:p w14:paraId="3F472B9C">
      <w:pPr>
        <w:pStyle w:val="3"/>
        <w:numPr>
          <w:ilvl w:val="1"/>
          <w:numId w:val="40"/>
        </w:numPr>
        <w:rPr>
          <w:sz w:val="24"/>
          <w:szCs w:val="24"/>
          <w:lang w:val="en-US"/>
        </w:rPr>
      </w:pPr>
      <w:r>
        <w:rPr>
          <w:sz w:val="24"/>
          <w:szCs w:val="24"/>
          <w:lang w:val="en-US"/>
        </w:rPr>
        <w:t>Enhanced tracking systems and robust databases</w:t>
      </w:r>
    </w:p>
    <w:p w14:paraId="2860E760">
      <w:pPr>
        <w:pStyle w:val="3"/>
        <w:numPr>
          <w:ilvl w:val="1"/>
          <w:numId w:val="40"/>
        </w:numPr>
        <w:rPr>
          <w:sz w:val="24"/>
          <w:szCs w:val="24"/>
          <w:lang w:val="en-US"/>
        </w:rPr>
      </w:pPr>
      <w:r>
        <w:rPr>
          <w:sz w:val="24"/>
          <w:szCs w:val="24"/>
          <w:lang w:val="en-US"/>
        </w:rPr>
        <w:t>Regular monitoring and updates of core performance indicators for every partnership activity</w:t>
      </w:r>
    </w:p>
    <w:p w14:paraId="28991057">
      <w:pPr>
        <w:pStyle w:val="3"/>
        <w:numPr>
          <w:ilvl w:val="1"/>
          <w:numId w:val="40"/>
        </w:numPr>
        <w:rPr>
          <w:sz w:val="24"/>
          <w:szCs w:val="24"/>
          <w:lang w:val="en-US"/>
        </w:rPr>
      </w:pPr>
      <w:r>
        <w:rPr>
          <w:sz w:val="24"/>
          <w:szCs w:val="24"/>
          <w:lang w:val="en-US"/>
        </w:rPr>
        <w:t>Systematic periodic performance reporting on the various PPP initiatives in the University</w:t>
      </w:r>
    </w:p>
    <w:p w14:paraId="13149181">
      <w:pPr>
        <w:pStyle w:val="3"/>
        <w:numPr>
          <w:ilvl w:val="1"/>
          <w:numId w:val="40"/>
        </w:numPr>
        <w:rPr>
          <w:sz w:val="24"/>
          <w:szCs w:val="24"/>
          <w:lang w:val="en-US"/>
        </w:rPr>
      </w:pPr>
      <w:r>
        <w:rPr>
          <w:sz w:val="24"/>
          <w:szCs w:val="24"/>
          <w:lang w:val="en-US"/>
        </w:rPr>
        <w:t>Documented institutional knowledge on PPP initiation and implementation</w:t>
      </w:r>
    </w:p>
    <w:p w14:paraId="171EC8AC">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13053AEA">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4AB1E0F9">
      <w:pPr>
        <w:pStyle w:val="2"/>
        <w:rPr>
          <w:color w:val="000000"/>
          <w:sz w:val="24"/>
          <w:szCs w:val="24"/>
        </w:rPr>
      </w:pPr>
    </w:p>
    <w:p w14:paraId="2510929D">
      <w:pPr>
        <w:pStyle w:val="2"/>
        <w:rPr>
          <w:color w:val="000000"/>
          <w:sz w:val="24"/>
          <w:szCs w:val="24"/>
        </w:rPr>
      </w:pPr>
    </w:p>
    <w:p w14:paraId="07D568EE">
      <w:pPr>
        <w:pStyle w:val="2"/>
        <w:rPr>
          <w:color w:val="000000"/>
          <w:sz w:val="24"/>
          <w:szCs w:val="24"/>
        </w:rPr>
      </w:pPr>
    </w:p>
    <w:p w14:paraId="21272869">
      <w:pPr>
        <w:pStyle w:val="2"/>
        <w:rPr>
          <w:color w:val="000000"/>
          <w:sz w:val="24"/>
          <w:szCs w:val="24"/>
        </w:rPr>
      </w:pPr>
    </w:p>
    <w:p w14:paraId="76461597">
      <w:pPr>
        <w:pStyle w:val="2"/>
        <w:rPr>
          <w:color w:val="000000"/>
          <w:sz w:val="24"/>
          <w:szCs w:val="24"/>
        </w:rPr>
      </w:pPr>
    </w:p>
    <w:p w14:paraId="79B72CB3">
      <w:pPr>
        <w:pStyle w:val="2"/>
        <w:rPr>
          <w:color w:val="000000"/>
          <w:sz w:val="24"/>
          <w:szCs w:val="24"/>
        </w:rPr>
      </w:pPr>
    </w:p>
    <w:p w14:paraId="033ACFFC">
      <w:pPr>
        <w:pStyle w:val="2"/>
        <w:rPr>
          <w:color w:val="000000"/>
          <w:sz w:val="24"/>
          <w:szCs w:val="24"/>
        </w:rPr>
      </w:pPr>
      <w:bookmarkStart w:id="106" w:name="_Toc105"/>
      <w:r>
        <w:rPr>
          <w:color w:val="000000"/>
          <w:sz w:val="24"/>
          <w:szCs w:val="24"/>
          <w:lang w:val="en-US"/>
        </w:rPr>
        <w:t>PART 2: MONITORING AND EVALUATION PLAN</w:t>
      </w:r>
      <w:bookmarkEnd w:id="106"/>
    </w:p>
    <w:p w14:paraId="02499AE4">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5CC7D3FA">
      <w:pPr>
        <w:pStyle w:val="3"/>
        <w:spacing w:line="360" w:lineRule="auto"/>
        <w:jc w:val="both"/>
        <w:rPr>
          <w:rFonts w:ascii="Helvetica Neue" w:hAnsi="Helvetica Neue" w:eastAsia="Helvetica Neue" w:cs="Helvetica Neue"/>
          <w:b/>
          <w:bCs/>
          <w:sz w:val="24"/>
          <w:szCs w:val="24"/>
        </w:rPr>
      </w:pPr>
      <w:r>
        <w:rPr>
          <w:rFonts w:ascii="Helvetica Neue" w:hAnsi="Helvetica Neue"/>
          <w:b/>
          <w:bCs/>
          <w:sz w:val="24"/>
          <w:szCs w:val="24"/>
          <w:lang w:val="en-US"/>
        </w:rPr>
        <w:t xml:space="preserve">2.1. Scope of the Monitoring and Evaluation Plan </w:t>
      </w:r>
    </w:p>
    <w:p w14:paraId="791C02AA">
      <w:pPr>
        <w:pStyle w:val="3"/>
        <w:spacing w:line="360" w:lineRule="auto"/>
        <w:jc w:val="both"/>
        <w:rPr>
          <w:sz w:val="24"/>
          <w:szCs w:val="24"/>
        </w:rPr>
      </w:pPr>
      <w:r>
        <w:rPr>
          <w:sz w:val="24"/>
          <w:szCs w:val="24"/>
          <w:lang w:val="en-US"/>
        </w:rPr>
        <w:t>This section provides a comprehensive overview of the monitoring and evaluation process, detailing each stage from data collection and management through analysis, reporting, and dissemination. It outlines the logical framework, M&amp;E implementation plan, institutional M&amp;E structure, and defines responsibilities and information needs and responsibilities.</w:t>
      </w:r>
    </w:p>
    <w:p w14:paraId="429F3F0D">
      <w:pPr>
        <w:pStyle w:val="3"/>
        <w:spacing w:line="360" w:lineRule="auto"/>
        <w:jc w:val="both"/>
        <w:rPr>
          <w:rFonts w:ascii="Helvetica Neue" w:hAnsi="Helvetica Neue" w:eastAsia="Helvetica Neue" w:cs="Helvetica Neue"/>
          <w:b/>
          <w:bCs/>
          <w:sz w:val="24"/>
          <w:szCs w:val="24"/>
        </w:rPr>
      </w:pPr>
      <w:r>
        <w:rPr>
          <w:rFonts w:ascii="Helvetica Neue" w:hAnsi="Helvetica Neue"/>
          <w:b/>
          <w:bCs/>
          <w:sz w:val="24"/>
          <w:szCs w:val="24"/>
          <w:lang w:val="en-US"/>
        </w:rPr>
        <w:t>2.2 The Logical Framework of the M&amp;E Plan</w:t>
      </w:r>
    </w:p>
    <w:p w14:paraId="7242A2F9">
      <w:pPr>
        <w:pStyle w:val="3"/>
        <w:spacing w:line="360" w:lineRule="auto"/>
        <w:jc w:val="both"/>
        <w:rPr>
          <w:sz w:val="24"/>
          <w:szCs w:val="24"/>
        </w:rPr>
      </w:pPr>
      <w:r>
        <w:rPr>
          <w:sz w:val="24"/>
          <w:szCs w:val="24"/>
          <w:lang w:val="en-US"/>
        </w:rPr>
        <w:t>The logical framework outlines the core indicators for tracking, monitoring and evaluating impact, outcomes and outputs, giving definition of each of the indicators, which are directly measuring directly measuring the expected results, or indirect i.e. measured through proxy indicators related to the expected result as well as highlights the assumptions surrounding each strategic objective. The following tables provide the logical framework for the various levels of result chain.</w:t>
      </w:r>
    </w:p>
    <w:p w14:paraId="01730EB7">
      <w:pPr>
        <w:pStyle w:val="3"/>
        <w:spacing w:line="360" w:lineRule="auto"/>
        <w:jc w:val="both"/>
        <w:rPr>
          <w:rFonts w:ascii="Helvetica Neue" w:hAnsi="Helvetica Neue" w:eastAsia="Helvetica Neue" w:cs="Helvetica Neue"/>
          <w:b/>
          <w:bCs/>
          <w:sz w:val="24"/>
          <w:szCs w:val="24"/>
        </w:rPr>
      </w:pPr>
      <w:r>
        <w:rPr>
          <w:rFonts w:ascii="Helvetica Neue" w:hAnsi="Helvetica Neue"/>
          <w:b/>
          <w:bCs/>
          <w:sz w:val="24"/>
          <w:szCs w:val="24"/>
          <w:lang w:val="en-US"/>
        </w:rPr>
        <w:t>Outputs and Outcomes</w:t>
      </w:r>
    </w:p>
    <w:p w14:paraId="3608374E">
      <w:pPr>
        <w:pStyle w:val="3"/>
        <w:spacing w:line="360" w:lineRule="auto"/>
        <w:jc w:val="both"/>
        <w:rPr>
          <w:sz w:val="24"/>
          <w:szCs w:val="24"/>
        </w:rPr>
      </w:pPr>
      <w:r>
        <w:rPr>
          <w:sz w:val="24"/>
          <w:szCs w:val="24"/>
          <w:lang w:val="en-US"/>
        </w:rPr>
        <w:t>Strategic Objective 1: Modernise and expand University infrastructure capacity</w:t>
      </w:r>
    </w:p>
    <w:p w14:paraId="743E8759">
      <w:pPr>
        <w:pStyle w:val="3"/>
        <w:spacing w:line="360" w:lineRule="auto"/>
        <w:jc w:val="both"/>
        <w:rPr>
          <w:sz w:val="24"/>
          <w:szCs w:val="24"/>
        </w:rPr>
      </w:pPr>
      <w:r>
        <w:rPr>
          <w:sz w:val="24"/>
          <w:szCs w:val="24"/>
          <w:lang w:val="en-US"/>
        </w:rPr>
        <w:t>The following indicators in Table 1 are targeted towards modernising and expanding infrastructure capacity at the University of Nigeria through Public-Private Partnership initiatives.</w:t>
      </w:r>
    </w:p>
    <w:p w14:paraId="1DDB48BC">
      <w:pPr>
        <w:pStyle w:val="3"/>
        <w:spacing w:line="360" w:lineRule="auto"/>
        <w:jc w:val="both"/>
        <w:rPr>
          <w:rFonts w:ascii="Helvetica Neue" w:hAnsi="Helvetica Neue" w:eastAsia="Helvetica Neue" w:cs="Helvetica Neue"/>
          <w:b/>
          <w:bCs/>
          <w:sz w:val="24"/>
          <w:szCs w:val="24"/>
        </w:rPr>
      </w:pPr>
      <w:r>
        <w:rPr>
          <w:rFonts w:ascii="Helvetica Neue" w:hAnsi="Helvetica Neue"/>
          <w:b/>
          <w:bCs/>
          <w:sz w:val="24"/>
          <w:szCs w:val="24"/>
          <w:lang w:val="en-US"/>
        </w:rPr>
        <w:t>Table 1: Logical Framework for Strategic Objective 1</w:t>
      </w:r>
    </w:p>
    <w:tbl>
      <w:tblPr>
        <w:tblStyle w:val="6"/>
        <w:tblW w:w="9500" w:type="dxa"/>
        <w:tblInd w:w="108" w:type="dxa"/>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Layout w:type="fixed"/>
        <w:tblCellMar>
          <w:top w:w="0" w:type="dxa"/>
          <w:left w:w="108" w:type="dxa"/>
          <w:bottom w:w="0" w:type="dxa"/>
          <w:right w:w="108" w:type="dxa"/>
        </w:tblCellMar>
      </w:tblPr>
      <w:tblGrid>
        <w:gridCol w:w="5196"/>
        <w:gridCol w:w="1747"/>
        <w:gridCol w:w="1303"/>
        <w:gridCol w:w="1254"/>
      </w:tblGrid>
      <w:tr w14:paraId="16B496FE">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529" w:hRule="atLeast"/>
        </w:trPr>
        <w:tc>
          <w:tcPr>
            <w:tcW w:w="5194" w:type="dxa"/>
            <w:tcBorders>
              <w:top w:val="nil"/>
              <w:left w:val="nil"/>
              <w:bottom w:val="dotted" w:color="919191" w:sz="6" w:space="0"/>
              <w:right w:val="single" w:color="919191" w:sz="2" w:space="0"/>
            </w:tcBorders>
            <w:shd w:val="clear" w:color="auto" w:fill="E1E1E1"/>
            <w:tcMar>
              <w:top w:w="54" w:type="dxa"/>
              <w:left w:w="54" w:type="dxa"/>
              <w:bottom w:w="54" w:type="dxa"/>
              <w:right w:w="54" w:type="dxa"/>
            </w:tcMar>
          </w:tcPr>
          <w:p w14:paraId="00822141"/>
        </w:tc>
        <w:tc>
          <w:tcPr>
            <w:tcW w:w="1747" w:type="dxa"/>
            <w:tcBorders>
              <w:top w:val="nil"/>
              <w:left w:val="single" w:color="919191" w:sz="2" w:space="0"/>
              <w:bottom w:val="dotted" w:color="919191" w:sz="6" w:space="0"/>
              <w:right w:val="single" w:color="919191" w:sz="2" w:space="0"/>
            </w:tcBorders>
            <w:shd w:val="clear" w:color="auto" w:fill="E1E1E1"/>
            <w:tcMar>
              <w:top w:w="54" w:type="dxa"/>
              <w:left w:w="54" w:type="dxa"/>
              <w:bottom w:w="54" w:type="dxa"/>
              <w:right w:w="54" w:type="dxa"/>
            </w:tcMar>
          </w:tcPr>
          <w:p w14:paraId="1B425CA2">
            <w:pPr>
              <w:pStyle w:val="3"/>
            </w:pPr>
            <w:r>
              <w:rPr>
                <w:rFonts w:ascii="Helvetica Neue" w:hAnsi="Helvetica Neue"/>
                <w:b/>
                <w:bCs/>
              </w:rPr>
              <w:t>Indicators</w:t>
            </w:r>
          </w:p>
        </w:tc>
        <w:tc>
          <w:tcPr>
            <w:tcW w:w="1303" w:type="dxa"/>
            <w:tcBorders>
              <w:top w:val="nil"/>
              <w:left w:val="single" w:color="919191" w:sz="2" w:space="0"/>
              <w:bottom w:val="dotted" w:color="919191" w:sz="6" w:space="0"/>
              <w:right w:val="single" w:color="919191" w:sz="2" w:space="0"/>
            </w:tcBorders>
            <w:shd w:val="clear" w:color="auto" w:fill="E1E1E1"/>
            <w:tcMar>
              <w:top w:w="54" w:type="dxa"/>
              <w:left w:w="54" w:type="dxa"/>
              <w:bottom w:w="54" w:type="dxa"/>
              <w:right w:w="54" w:type="dxa"/>
            </w:tcMar>
          </w:tcPr>
          <w:p w14:paraId="5BE87829">
            <w:pPr>
              <w:pStyle w:val="3"/>
            </w:pPr>
            <w:r>
              <w:rPr>
                <w:rFonts w:ascii="Helvetica Neue" w:hAnsi="Helvetica Neue"/>
                <w:b/>
                <w:bCs/>
              </w:rPr>
              <w:t>Means of Verification</w:t>
            </w:r>
          </w:p>
        </w:tc>
        <w:tc>
          <w:tcPr>
            <w:tcW w:w="1254" w:type="dxa"/>
            <w:tcBorders>
              <w:top w:val="nil"/>
              <w:left w:val="single" w:color="919191" w:sz="2" w:space="0"/>
              <w:bottom w:val="dotted" w:color="919191" w:sz="6" w:space="0"/>
              <w:right w:val="nil"/>
            </w:tcBorders>
            <w:shd w:val="clear" w:color="auto" w:fill="E1E1E1"/>
            <w:tcMar>
              <w:top w:w="54" w:type="dxa"/>
              <w:left w:w="54" w:type="dxa"/>
              <w:bottom w:w="54" w:type="dxa"/>
              <w:right w:w="54" w:type="dxa"/>
            </w:tcMar>
          </w:tcPr>
          <w:p w14:paraId="0056A2EA">
            <w:pPr>
              <w:pStyle w:val="3"/>
            </w:pPr>
            <w:r>
              <w:rPr>
                <w:rFonts w:ascii="Helvetica Neue" w:hAnsi="Helvetica Neue"/>
                <w:b/>
                <w:bCs/>
              </w:rPr>
              <w:t>Assumptions for the Objective</w:t>
            </w:r>
          </w:p>
        </w:tc>
      </w:tr>
      <w:tr w14:paraId="67464882">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49" w:hRule="atLeast"/>
        </w:trPr>
        <w:tc>
          <w:tcPr>
            <w:tcW w:w="5194" w:type="dxa"/>
            <w:tcBorders>
              <w:top w:val="dotted" w:color="919191" w:sz="6" w:space="0"/>
              <w:left w:val="nil"/>
              <w:bottom w:val="dotted" w:color="919191" w:sz="6" w:space="0"/>
              <w:right w:val="single" w:color="919191" w:sz="2" w:space="0"/>
            </w:tcBorders>
            <w:shd w:val="clear" w:color="auto" w:fill="E1E1E1"/>
            <w:tcMar>
              <w:top w:w="54" w:type="dxa"/>
              <w:left w:w="54" w:type="dxa"/>
              <w:bottom w:w="54" w:type="dxa"/>
              <w:right w:w="54" w:type="dxa"/>
            </w:tcMar>
          </w:tcPr>
          <w:p w14:paraId="291159A8">
            <w:pPr>
              <w:pStyle w:val="3"/>
            </w:pPr>
            <w:r>
              <w:rPr>
                <w:rFonts w:ascii="Helvetica Neue" w:hAnsi="Helvetica Neue"/>
                <w:b/>
                <w:bCs/>
              </w:rPr>
              <w:t>Outcome</w:t>
            </w:r>
          </w:p>
        </w:tc>
        <w:tc>
          <w:tcPr>
            <w:tcW w:w="1747" w:type="dxa"/>
            <w:tcBorders>
              <w:top w:val="dotted" w:color="919191" w:sz="6" w:space="0"/>
              <w:left w:val="single" w:color="919191" w:sz="2" w:space="0"/>
              <w:bottom w:val="dotted" w:color="919191" w:sz="6" w:space="0"/>
              <w:right w:val="single" w:color="919191" w:sz="2" w:space="0"/>
            </w:tcBorders>
            <w:shd w:val="clear" w:color="auto" w:fill="EEEEEE"/>
            <w:tcMar>
              <w:top w:w="80" w:type="dxa"/>
              <w:left w:w="80" w:type="dxa"/>
              <w:bottom w:w="80" w:type="dxa"/>
              <w:right w:w="80" w:type="dxa"/>
            </w:tcMar>
          </w:tcPr>
          <w:p w14:paraId="19A93989"/>
        </w:tc>
        <w:tc>
          <w:tcPr>
            <w:tcW w:w="1303" w:type="dxa"/>
            <w:tcBorders>
              <w:top w:val="dotted" w:color="919191" w:sz="6" w:space="0"/>
              <w:left w:val="single" w:color="919191" w:sz="2" w:space="0"/>
              <w:bottom w:val="dotted" w:color="919191" w:sz="6" w:space="0"/>
              <w:right w:val="single" w:color="919191" w:sz="2" w:space="0"/>
            </w:tcBorders>
            <w:shd w:val="clear" w:color="auto" w:fill="EEEEEE"/>
            <w:tcMar>
              <w:top w:w="80" w:type="dxa"/>
              <w:left w:w="80" w:type="dxa"/>
              <w:bottom w:w="80" w:type="dxa"/>
              <w:right w:w="80" w:type="dxa"/>
            </w:tcMar>
          </w:tcPr>
          <w:p w14:paraId="0C110EF8"/>
        </w:tc>
        <w:tc>
          <w:tcPr>
            <w:tcW w:w="1254" w:type="dxa"/>
            <w:tcBorders>
              <w:top w:val="dotted" w:color="919191" w:sz="6" w:space="0"/>
              <w:left w:val="single" w:color="919191" w:sz="2" w:space="0"/>
              <w:bottom w:val="dotted" w:color="919191" w:sz="6" w:space="0"/>
              <w:right w:val="nil"/>
            </w:tcBorders>
            <w:shd w:val="clear" w:color="auto" w:fill="EEEEEE"/>
            <w:tcMar>
              <w:top w:w="80" w:type="dxa"/>
              <w:left w:w="80" w:type="dxa"/>
              <w:bottom w:w="80" w:type="dxa"/>
              <w:right w:w="80" w:type="dxa"/>
            </w:tcMar>
          </w:tcPr>
          <w:p w14:paraId="0577FD8A"/>
        </w:tc>
      </w:tr>
      <w:tr w14:paraId="29ACB296">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797" w:hRule="atLeast"/>
        </w:trPr>
        <w:tc>
          <w:tcPr>
            <w:tcW w:w="5194" w:type="dxa"/>
            <w:tcBorders>
              <w:top w:val="dotted" w:color="919191" w:sz="6" w:space="0"/>
              <w:left w:val="nil"/>
              <w:bottom w:val="dotted" w:color="919191" w:sz="6" w:space="0"/>
              <w:right w:val="single" w:color="919191" w:sz="2" w:space="0"/>
            </w:tcBorders>
            <w:tcMar>
              <w:top w:w="54" w:type="dxa"/>
              <w:left w:w="54" w:type="dxa"/>
              <w:bottom w:w="54" w:type="dxa"/>
              <w:right w:w="54" w:type="dxa"/>
            </w:tcMar>
          </w:tcPr>
          <w:p w14:paraId="0E5897F8">
            <w:pPr>
              <w:pStyle w:val="3"/>
            </w:pPr>
            <w:r>
              <w:rPr>
                <w:rFonts w:eastAsia="Arial Unicode MS" w:cs="Arial Unicode MS"/>
              </w:rPr>
              <w:t>1.1 Modern, well-equipped facilities that enhance teaching effectiveness and student learning outcomes</w:t>
            </w:r>
          </w:p>
        </w:tc>
        <w:tc>
          <w:tcPr>
            <w:tcW w:w="1747"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77CAB86B">
            <w:pPr>
              <w:pStyle w:val="3"/>
              <w:numPr>
                <w:ilvl w:val="1"/>
                <w:numId w:val="81"/>
              </w:numPr>
            </w:pPr>
            <w:r>
              <w:rPr>
                <w:rFonts w:eastAsia="Arial Unicode MS" w:cs="Arial Unicode MS"/>
                <w:lang w:val="en-US"/>
              </w:rPr>
              <w:t>Percentage of students/faculty reporting improved learning</w:t>
            </w:r>
          </w:p>
          <w:p w14:paraId="3711CAF8">
            <w:pPr>
              <w:pStyle w:val="3"/>
              <w:numPr>
                <w:ilvl w:val="1"/>
                <w:numId w:val="81"/>
              </w:numPr>
            </w:pPr>
            <w:r>
              <w:rPr>
                <w:rFonts w:eastAsia="Arial Unicode MS" w:cs="Arial Unicode MS"/>
                <w:lang w:val="en-US"/>
              </w:rPr>
              <w:t>utilisation rate of facilities</w:t>
            </w:r>
          </w:p>
          <w:p w14:paraId="40A46DBA">
            <w:pPr>
              <w:pStyle w:val="3"/>
              <w:numPr>
                <w:ilvl w:val="1"/>
                <w:numId w:val="81"/>
              </w:numPr>
            </w:pPr>
            <w:r>
              <w:rPr>
                <w:rFonts w:eastAsia="Arial Unicode MS" w:cs="Arial Unicode MS"/>
                <w:lang w:val="en-US"/>
              </w:rPr>
              <w:t>reduction in facility-condition complaints</w:t>
            </w:r>
          </w:p>
          <w:p w14:paraId="7F12460B">
            <w:pPr>
              <w:pStyle w:val="3"/>
              <w:numPr>
                <w:ilvl w:val="1"/>
                <w:numId w:val="81"/>
              </w:numPr>
            </w:pPr>
            <w:r>
              <w:rPr>
                <w:rFonts w:eastAsia="Arial Unicode MS" w:cs="Arial Unicode MS"/>
                <w:lang w:val="en-US"/>
              </w:rPr>
              <w:t>user satisfaction ratings.</w:t>
            </w:r>
          </w:p>
        </w:tc>
        <w:tc>
          <w:tcPr>
            <w:tcW w:w="1303"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7B160D27">
            <w:pPr>
              <w:pStyle w:val="3"/>
              <w:numPr>
                <w:ilvl w:val="1"/>
                <w:numId w:val="82"/>
              </w:numPr>
            </w:pPr>
            <w:r>
              <w:rPr>
                <w:rFonts w:eastAsia="Arial Unicode MS" w:cs="Arial Unicode MS"/>
                <w:lang w:val="en-US"/>
              </w:rPr>
              <w:t>Student &amp; staff surveys</w:t>
            </w:r>
          </w:p>
          <w:p w14:paraId="1803866F">
            <w:pPr>
              <w:pStyle w:val="3"/>
              <w:numPr>
                <w:ilvl w:val="1"/>
                <w:numId w:val="82"/>
              </w:numPr>
            </w:pPr>
            <w:r>
              <w:rPr>
                <w:rFonts w:eastAsia="Arial Unicode MS" w:cs="Arial Unicode MS"/>
                <w:lang w:val="en-US"/>
              </w:rPr>
              <w:t>facility usage analytics</w:t>
            </w:r>
          </w:p>
          <w:p w14:paraId="5A490E24">
            <w:pPr>
              <w:pStyle w:val="3"/>
              <w:numPr>
                <w:ilvl w:val="1"/>
                <w:numId w:val="82"/>
              </w:numPr>
            </w:pPr>
            <w:r>
              <w:rPr>
                <w:rFonts w:eastAsia="Arial Unicode MS" w:cs="Arial Unicode MS"/>
                <w:lang w:val="en-US"/>
              </w:rPr>
              <w:t>helpdesk/complaint logs</w:t>
            </w:r>
          </w:p>
          <w:p w14:paraId="3FB04F4C">
            <w:pPr>
              <w:pStyle w:val="3"/>
              <w:numPr>
                <w:ilvl w:val="1"/>
                <w:numId w:val="82"/>
              </w:numPr>
            </w:pPr>
            <w:r>
              <w:rPr>
                <w:rFonts w:eastAsia="Arial Unicode MS" w:cs="Arial Unicode MS"/>
                <w:lang w:val="en-US"/>
              </w:rPr>
              <w:t>Facility condition assessments.</w:t>
            </w:r>
          </w:p>
        </w:tc>
        <w:tc>
          <w:tcPr>
            <w:tcW w:w="1254" w:type="dxa"/>
            <w:tcBorders>
              <w:top w:val="dotted" w:color="919191" w:sz="6" w:space="0"/>
              <w:left w:val="single" w:color="919191" w:sz="2" w:space="0"/>
              <w:bottom w:val="dotted" w:color="919191" w:sz="6" w:space="0"/>
              <w:right w:val="nil"/>
            </w:tcBorders>
            <w:tcMar>
              <w:top w:w="54" w:type="dxa"/>
              <w:left w:w="54" w:type="dxa"/>
              <w:bottom w:w="54" w:type="dxa"/>
              <w:right w:w="54" w:type="dxa"/>
            </w:tcMar>
          </w:tcPr>
          <w:p w14:paraId="69DEF6BD">
            <w:pPr>
              <w:pStyle w:val="3"/>
            </w:pPr>
            <w:r>
              <w:rPr>
                <w:rFonts w:eastAsia="Arial Unicode MS" w:cs="Arial Unicode MS"/>
              </w:rPr>
              <w:t>Facilities accessible and maintained; operations and maintenance budgets protected; staff oriented to use new spaces.</w:t>
            </w:r>
          </w:p>
        </w:tc>
      </w:tr>
      <w:tr w14:paraId="337B4B7F">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510" w:hRule="atLeast"/>
        </w:trPr>
        <w:tc>
          <w:tcPr>
            <w:tcW w:w="5194" w:type="dxa"/>
            <w:tcBorders>
              <w:top w:val="dotted" w:color="919191" w:sz="6" w:space="0"/>
              <w:left w:val="nil"/>
              <w:bottom w:val="dotted" w:color="919191" w:sz="6" w:space="0"/>
              <w:right w:val="single" w:color="919191" w:sz="2" w:space="0"/>
            </w:tcBorders>
            <w:shd w:val="clear" w:color="auto" w:fill="EEEEEE"/>
            <w:tcMar>
              <w:top w:w="54" w:type="dxa"/>
              <w:left w:w="54" w:type="dxa"/>
              <w:bottom w:w="54" w:type="dxa"/>
              <w:right w:w="54" w:type="dxa"/>
            </w:tcMar>
          </w:tcPr>
          <w:p w14:paraId="614BFCFB">
            <w:pPr>
              <w:pStyle w:val="3"/>
            </w:pPr>
            <w:r>
              <w:rPr>
                <w:rFonts w:eastAsia="Arial Unicode MS" w:cs="Arial Unicode MS"/>
              </w:rPr>
              <w:t>1.2 Environmentally sustainable and resilient infrastructure</w:t>
            </w:r>
          </w:p>
        </w:tc>
        <w:tc>
          <w:tcPr>
            <w:tcW w:w="1747"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3B3516E1">
            <w:pPr>
              <w:pStyle w:val="3"/>
              <w:numPr>
                <w:ilvl w:val="1"/>
                <w:numId w:val="83"/>
              </w:numPr>
            </w:pPr>
            <w:r>
              <w:rPr>
                <w:rFonts w:eastAsia="Arial Unicode MS" w:cs="Arial Unicode MS"/>
                <w:lang w:val="en-US"/>
              </w:rPr>
              <w:t>% reduction in energy/water use per m</w:t>
            </w:r>
            <w:r>
              <w:rPr>
                <w:rFonts w:eastAsia="Arial Unicode MS" w:cs="Arial Unicode MS"/>
              </w:rPr>
              <w:t>²</w:t>
            </w:r>
          </w:p>
          <w:p w14:paraId="7EBB8C94">
            <w:pPr>
              <w:pStyle w:val="3"/>
              <w:numPr>
                <w:ilvl w:val="1"/>
                <w:numId w:val="83"/>
              </w:numPr>
            </w:pPr>
            <w:r>
              <w:rPr>
                <w:rFonts w:eastAsia="Arial Unicode MS" w:cs="Arial Unicode MS"/>
                <w:lang w:val="en-US"/>
              </w:rPr>
              <w:t>cost savings from efficiency</w:t>
            </w:r>
          </w:p>
          <w:p w14:paraId="7C0CF79B">
            <w:pPr>
              <w:pStyle w:val="3"/>
              <w:numPr>
                <w:ilvl w:val="1"/>
                <w:numId w:val="83"/>
              </w:numPr>
            </w:pPr>
            <w:r>
              <w:rPr>
                <w:rFonts w:eastAsia="Arial Unicode MS" w:cs="Arial Unicode MS"/>
                <w:lang w:val="en-US"/>
              </w:rPr>
              <w:t>carbon footprint reduction (tCO</w:t>
            </w:r>
            <w:r>
              <w:rPr>
                <w:rFonts w:eastAsia="Arial Unicode MS" w:cs="Arial Unicode MS"/>
              </w:rPr>
              <w:t>₂e)</w:t>
            </w:r>
          </w:p>
          <w:p w14:paraId="18840074">
            <w:pPr>
              <w:pStyle w:val="3"/>
              <w:numPr>
                <w:ilvl w:val="1"/>
                <w:numId w:val="83"/>
              </w:numPr>
            </w:pPr>
            <w:r>
              <w:rPr>
                <w:rFonts w:eastAsia="Arial Unicode MS" w:cs="Arial Unicode MS"/>
                <w:lang w:val="en-US"/>
              </w:rPr>
              <w:t>% of facilities compliant with green standards.</w:t>
            </w:r>
          </w:p>
        </w:tc>
        <w:tc>
          <w:tcPr>
            <w:tcW w:w="1303"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1B122175">
            <w:pPr>
              <w:pStyle w:val="3"/>
              <w:numPr>
                <w:ilvl w:val="1"/>
                <w:numId w:val="84"/>
              </w:numPr>
            </w:pPr>
            <w:r>
              <w:rPr>
                <w:rFonts w:eastAsia="Arial Unicode MS" w:cs="Arial Unicode MS"/>
                <w:lang w:val="en-US"/>
              </w:rPr>
              <w:t>Utility bills</w:t>
            </w:r>
          </w:p>
          <w:p w14:paraId="219A4BA4">
            <w:pPr>
              <w:pStyle w:val="3"/>
              <w:numPr>
                <w:ilvl w:val="1"/>
                <w:numId w:val="84"/>
              </w:numPr>
            </w:pPr>
            <w:r>
              <w:rPr>
                <w:rFonts w:eastAsia="Arial Unicode MS" w:cs="Arial Unicode MS"/>
                <w:lang w:val="en-US"/>
              </w:rPr>
              <w:t>energy/water audits</w:t>
            </w:r>
          </w:p>
          <w:p w14:paraId="375486A7">
            <w:pPr>
              <w:pStyle w:val="3"/>
              <w:numPr>
                <w:ilvl w:val="1"/>
                <w:numId w:val="84"/>
              </w:numPr>
            </w:pPr>
            <w:r>
              <w:rPr>
                <w:rFonts w:eastAsia="Arial Unicode MS" w:cs="Arial Unicode MS"/>
                <w:lang w:val="en-US"/>
              </w:rPr>
              <w:t>greenhouse gas inventory</w:t>
            </w:r>
          </w:p>
          <w:p w14:paraId="40BE97B9">
            <w:pPr>
              <w:pStyle w:val="3"/>
              <w:numPr>
                <w:ilvl w:val="1"/>
                <w:numId w:val="84"/>
              </w:numPr>
            </w:pPr>
            <w:r>
              <w:rPr>
                <w:rFonts w:eastAsia="Arial Unicode MS" w:cs="Arial Unicode MS"/>
                <w:lang w:val="it-IT"/>
              </w:rPr>
              <w:t>compliance/commissioning certificates.</w:t>
            </w:r>
          </w:p>
        </w:tc>
        <w:tc>
          <w:tcPr>
            <w:tcW w:w="1254"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54" w:type="dxa"/>
            </w:tcMar>
          </w:tcPr>
          <w:p w14:paraId="6ACF72FD">
            <w:pPr>
              <w:pStyle w:val="3"/>
            </w:pPr>
            <w:r>
              <w:rPr>
                <w:rFonts w:eastAsia="Arial Unicode MS" w:cs="Arial Unicode MS"/>
              </w:rPr>
              <w:t>Technical capacity and vendor performance; leadership commitment to green operations and maintenance.</w:t>
            </w:r>
          </w:p>
        </w:tc>
      </w:tr>
      <w:tr w14:paraId="097DBFEB">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944" w:hRule="atLeast"/>
        </w:trPr>
        <w:tc>
          <w:tcPr>
            <w:tcW w:w="5194" w:type="dxa"/>
            <w:tcBorders>
              <w:top w:val="dotted" w:color="919191" w:sz="6" w:space="0"/>
              <w:left w:val="nil"/>
              <w:bottom w:val="dotted" w:color="919191" w:sz="6" w:space="0"/>
              <w:right w:val="single" w:color="919191" w:sz="2" w:space="0"/>
            </w:tcBorders>
            <w:tcMar>
              <w:top w:w="54" w:type="dxa"/>
              <w:left w:w="54" w:type="dxa"/>
              <w:bottom w:w="54" w:type="dxa"/>
              <w:right w:w="54" w:type="dxa"/>
            </w:tcMar>
          </w:tcPr>
          <w:p w14:paraId="1C0C1D15">
            <w:pPr>
              <w:pStyle w:val="3"/>
            </w:pPr>
            <w:r>
              <w:rPr>
                <w:rFonts w:eastAsia="Arial Unicode MS" w:cs="Arial Unicode MS"/>
              </w:rPr>
              <w:t>1.3 Enhanced facility management and operational efficiency</w:t>
            </w:r>
          </w:p>
        </w:tc>
        <w:tc>
          <w:tcPr>
            <w:tcW w:w="1747"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17C46F38">
            <w:pPr>
              <w:pStyle w:val="3"/>
              <w:numPr>
                <w:ilvl w:val="1"/>
                <w:numId w:val="85"/>
              </w:numPr>
            </w:pPr>
            <w:r>
              <w:rPr>
                <w:rFonts w:eastAsia="Arial Unicode MS" w:cs="Arial Unicode MS"/>
                <w:lang w:val="en-US"/>
              </w:rPr>
              <w:t xml:space="preserve">% reduction in  downtime </w:t>
            </w:r>
          </w:p>
          <w:p w14:paraId="65EB80D9">
            <w:pPr>
              <w:pStyle w:val="3"/>
              <w:numPr>
                <w:ilvl w:val="1"/>
                <w:numId w:val="85"/>
              </w:numPr>
            </w:pPr>
            <w:r>
              <w:rPr>
                <w:rFonts w:eastAsia="Arial Unicode MS" w:cs="Arial Unicode MS"/>
                <w:lang w:val="en-US"/>
              </w:rPr>
              <w:t>% improvement in facility performance</w:t>
            </w:r>
          </w:p>
          <w:p w14:paraId="16BAE5F1">
            <w:pPr>
              <w:pStyle w:val="3"/>
              <w:numPr>
                <w:ilvl w:val="1"/>
                <w:numId w:val="85"/>
              </w:numPr>
            </w:pPr>
            <w:r>
              <w:rPr>
                <w:rFonts w:eastAsia="Arial Unicode MS" w:cs="Arial Unicode MS"/>
                <w:lang w:val="en-US"/>
              </w:rPr>
              <w:t>frequency of preventive maintenance</w:t>
            </w:r>
          </w:p>
          <w:p w14:paraId="1B14119D">
            <w:pPr>
              <w:pStyle w:val="3"/>
              <w:numPr>
                <w:ilvl w:val="1"/>
                <w:numId w:val="85"/>
              </w:numPr>
            </w:pPr>
            <w:r>
              <w:rPr>
                <w:rFonts w:eastAsia="Arial Unicode MS" w:cs="Arial Unicode MS"/>
                <w:lang w:val="en-US"/>
              </w:rPr>
              <w:t>percentage reduction in downtime; percentage of staff reporting improved work environment.</w:t>
            </w:r>
          </w:p>
        </w:tc>
        <w:tc>
          <w:tcPr>
            <w:tcW w:w="1303"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6BF47D50">
            <w:pPr>
              <w:pStyle w:val="3"/>
              <w:numPr>
                <w:ilvl w:val="1"/>
                <w:numId w:val="86"/>
              </w:numPr>
            </w:pPr>
            <w:r>
              <w:rPr>
                <w:rFonts w:eastAsia="Arial Unicode MS" w:cs="Arial Unicode MS"/>
                <w:lang w:val="fr-FR"/>
              </w:rPr>
              <w:t>Maintenance logs</w:t>
            </w:r>
          </w:p>
          <w:p w14:paraId="1D7858A1">
            <w:pPr>
              <w:pStyle w:val="3"/>
              <w:numPr>
                <w:ilvl w:val="1"/>
                <w:numId w:val="86"/>
              </w:numPr>
            </w:pPr>
            <w:r>
              <w:rPr>
                <w:rFonts w:eastAsia="Arial Unicode MS" w:cs="Arial Unicode MS"/>
                <w:lang w:val="en-US"/>
              </w:rPr>
              <w:t>Facility performance reports</w:t>
            </w:r>
          </w:p>
          <w:p w14:paraId="2CECE7FD">
            <w:pPr>
              <w:pStyle w:val="3"/>
              <w:numPr>
                <w:ilvl w:val="1"/>
                <w:numId w:val="86"/>
              </w:numPr>
            </w:pPr>
            <w:r>
              <w:rPr>
                <w:rFonts w:eastAsia="Arial Unicode MS" w:cs="Arial Unicode MS"/>
                <w:lang w:val="en-US"/>
              </w:rPr>
              <w:t>Staff surveys.</w:t>
            </w:r>
          </w:p>
        </w:tc>
        <w:tc>
          <w:tcPr>
            <w:tcW w:w="1254" w:type="dxa"/>
            <w:tcBorders>
              <w:top w:val="dotted" w:color="919191" w:sz="6" w:space="0"/>
              <w:left w:val="single" w:color="919191" w:sz="2" w:space="0"/>
              <w:bottom w:val="dotted" w:color="919191" w:sz="6" w:space="0"/>
              <w:right w:val="nil"/>
            </w:tcBorders>
            <w:tcMar>
              <w:top w:w="54" w:type="dxa"/>
              <w:left w:w="54" w:type="dxa"/>
              <w:bottom w:w="54" w:type="dxa"/>
              <w:right w:w="54" w:type="dxa"/>
            </w:tcMar>
          </w:tcPr>
          <w:p w14:paraId="178CA40A">
            <w:pPr>
              <w:pStyle w:val="3"/>
            </w:pPr>
            <w:r>
              <w:rPr>
                <w:rFonts w:eastAsia="Arial Unicode MS" w:cs="Arial Unicode MS"/>
              </w:rPr>
              <w:t>Sustained funding for operations and maintenance; retention of trained technical staff.</w:t>
            </w:r>
          </w:p>
        </w:tc>
      </w:tr>
      <w:tr w14:paraId="76FE6BA2">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084" w:hRule="atLeast"/>
        </w:trPr>
        <w:tc>
          <w:tcPr>
            <w:tcW w:w="5194" w:type="dxa"/>
            <w:tcBorders>
              <w:top w:val="dotted" w:color="919191" w:sz="6" w:space="0"/>
              <w:left w:val="nil"/>
              <w:bottom w:val="dotted" w:color="919191" w:sz="6" w:space="0"/>
              <w:right w:val="single" w:color="919191" w:sz="2" w:space="0"/>
            </w:tcBorders>
            <w:shd w:val="clear" w:color="auto" w:fill="EEEEEE"/>
            <w:tcMar>
              <w:top w:w="54" w:type="dxa"/>
              <w:left w:w="54" w:type="dxa"/>
              <w:bottom w:w="54" w:type="dxa"/>
              <w:right w:w="54" w:type="dxa"/>
            </w:tcMar>
          </w:tcPr>
          <w:p w14:paraId="38385B43">
            <w:pPr>
              <w:pStyle w:val="3"/>
            </w:pPr>
            <w:r>
              <w:rPr>
                <w:rFonts w:eastAsia="Arial Unicode MS" w:cs="Arial Unicode MS"/>
              </w:rPr>
              <w:t>1.4 Improved safety and accessibility standards</w:t>
            </w:r>
          </w:p>
        </w:tc>
        <w:tc>
          <w:tcPr>
            <w:tcW w:w="1747"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6511D85A">
            <w:pPr>
              <w:pStyle w:val="3"/>
              <w:numPr>
                <w:ilvl w:val="1"/>
                <w:numId w:val="87"/>
              </w:numPr>
            </w:pPr>
            <w:r>
              <w:rPr>
                <w:rFonts w:eastAsia="Arial Unicode MS" w:cs="Arial Unicode MS"/>
                <w:lang w:val="en-US"/>
              </w:rPr>
              <w:t>Number of infrastructure compliant with health, safety, and accessibility regulations.</w:t>
            </w:r>
          </w:p>
          <w:p w14:paraId="78A5EBAE">
            <w:pPr>
              <w:pStyle w:val="3"/>
              <w:numPr>
                <w:ilvl w:val="1"/>
                <w:numId w:val="87"/>
              </w:numPr>
            </w:pPr>
            <w:r>
              <w:rPr>
                <w:rFonts w:eastAsia="Arial Unicode MS" w:cs="Arial Unicode MS"/>
                <w:lang w:val="en-US"/>
              </w:rPr>
              <w:t xml:space="preserve">% of facilities meeting safety codes; </w:t>
            </w:r>
          </w:p>
          <w:p w14:paraId="104F5D23">
            <w:pPr>
              <w:pStyle w:val="3"/>
              <w:numPr>
                <w:ilvl w:val="1"/>
                <w:numId w:val="87"/>
              </w:numPr>
            </w:pPr>
            <w:r>
              <w:rPr>
                <w:rFonts w:eastAsia="Arial Unicode MS" w:cs="Arial Unicode MS"/>
                <w:lang w:val="en-US"/>
              </w:rPr>
              <w:t xml:space="preserve">% of facilities accessible to persons with disabilities; </w:t>
            </w:r>
          </w:p>
          <w:p w14:paraId="4FB4C2FC">
            <w:pPr>
              <w:pStyle w:val="3"/>
              <w:numPr>
                <w:ilvl w:val="1"/>
                <w:numId w:val="87"/>
              </w:numPr>
            </w:pPr>
            <w:r>
              <w:rPr>
                <w:rFonts w:eastAsia="Arial Unicode MS" w:cs="Arial Unicode MS"/>
                <w:lang w:val="en-US"/>
              </w:rPr>
              <w:t>reduction in recorded safety incidents.</w:t>
            </w:r>
          </w:p>
        </w:tc>
        <w:tc>
          <w:tcPr>
            <w:tcW w:w="1303"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64A90B05">
            <w:pPr>
              <w:pStyle w:val="3"/>
              <w:numPr>
                <w:ilvl w:val="1"/>
                <w:numId w:val="88"/>
              </w:numPr>
            </w:pPr>
            <w:r>
              <w:rPr>
                <w:rFonts w:eastAsia="Arial Unicode MS" w:cs="Arial Unicode MS"/>
                <w:lang w:val="en-US"/>
              </w:rPr>
              <w:t>Safety inspection reports</w:t>
            </w:r>
          </w:p>
          <w:p w14:paraId="4418B7FA">
            <w:pPr>
              <w:pStyle w:val="3"/>
              <w:numPr>
                <w:ilvl w:val="1"/>
                <w:numId w:val="88"/>
              </w:numPr>
            </w:pPr>
            <w:r>
              <w:rPr>
                <w:rFonts w:eastAsia="Arial Unicode MS" w:cs="Arial Unicode MS"/>
                <w:lang w:val="en-US"/>
              </w:rPr>
              <w:t>compliance certificates</w:t>
            </w:r>
          </w:p>
          <w:p w14:paraId="0356C0A6">
            <w:pPr>
              <w:pStyle w:val="3"/>
              <w:numPr>
                <w:ilvl w:val="1"/>
                <w:numId w:val="88"/>
              </w:numPr>
            </w:pPr>
            <w:r>
              <w:rPr>
                <w:rFonts w:eastAsia="Arial Unicode MS" w:cs="Arial Unicode MS"/>
                <w:lang w:val="fr-FR"/>
              </w:rPr>
              <w:t>incident reports.</w:t>
            </w:r>
          </w:p>
        </w:tc>
        <w:tc>
          <w:tcPr>
            <w:tcW w:w="1254"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54" w:type="dxa"/>
            </w:tcMar>
          </w:tcPr>
          <w:p w14:paraId="32295714">
            <w:pPr>
              <w:pStyle w:val="3"/>
            </w:pPr>
            <w:r>
              <w:rPr>
                <w:rFonts w:eastAsia="Arial Unicode MS" w:cs="Arial Unicode MS"/>
              </w:rPr>
              <w:t>Willingness to invest in accessibility features; Enforcement of safety regulations;</w:t>
            </w:r>
          </w:p>
        </w:tc>
      </w:tr>
      <w:tr w14:paraId="37B40DDA">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09" w:hRule="atLeast"/>
        </w:trPr>
        <w:tc>
          <w:tcPr>
            <w:tcW w:w="5194" w:type="dxa"/>
            <w:tcBorders>
              <w:top w:val="dotted" w:color="919191" w:sz="6" w:space="0"/>
              <w:left w:val="nil"/>
              <w:bottom w:val="dotted" w:color="919191" w:sz="6" w:space="0"/>
              <w:right w:val="single" w:color="919191" w:sz="2" w:space="0"/>
            </w:tcBorders>
            <w:shd w:val="clear" w:color="auto" w:fill="E1E1E1"/>
            <w:tcMar>
              <w:top w:w="54" w:type="dxa"/>
              <w:left w:w="54" w:type="dxa"/>
              <w:bottom w:w="54" w:type="dxa"/>
              <w:right w:w="54" w:type="dxa"/>
            </w:tcMar>
          </w:tcPr>
          <w:p w14:paraId="19743019">
            <w:pPr>
              <w:pStyle w:val="3"/>
            </w:pPr>
            <w:r>
              <w:rPr>
                <w:rFonts w:ascii="Helvetica Neue" w:hAnsi="Helvetica Neue"/>
                <w:b/>
                <w:bCs/>
              </w:rPr>
              <w:t>Output</w:t>
            </w:r>
          </w:p>
        </w:tc>
        <w:tc>
          <w:tcPr>
            <w:tcW w:w="1747" w:type="dxa"/>
            <w:tcBorders>
              <w:top w:val="dotted" w:color="919191" w:sz="6" w:space="0"/>
              <w:left w:val="single" w:color="919191" w:sz="2" w:space="0"/>
              <w:bottom w:val="dotted" w:color="919191" w:sz="6" w:space="0"/>
              <w:right w:val="single" w:color="919191" w:sz="2" w:space="0"/>
            </w:tcBorders>
            <w:shd w:val="clear" w:color="auto" w:fill="E1E1E1"/>
            <w:tcMar>
              <w:top w:w="54" w:type="dxa"/>
              <w:left w:w="54" w:type="dxa"/>
              <w:bottom w:w="54" w:type="dxa"/>
              <w:right w:w="54" w:type="dxa"/>
            </w:tcMar>
          </w:tcPr>
          <w:p w14:paraId="1965E781"/>
        </w:tc>
        <w:tc>
          <w:tcPr>
            <w:tcW w:w="1303" w:type="dxa"/>
            <w:tcBorders>
              <w:top w:val="dotted" w:color="919191" w:sz="6" w:space="0"/>
              <w:left w:val="single" w:color="919191" w:sz="2" w:space="0"/>
              <w:bottom w:val="dotted" w:color="919191" w:sz="6" w:space="0"/>
              <w:right w:val="single" w:color="919191" w:sz="2" w:space="0"/>
            </w:tcBorders>
            <w:shd w:val="clear" w:color="auto" w:fill="E1E1E1"/>
            <w:tcMar>
              <w:top w:w="54" w:type="dxa"/>
              <w:left w:w="54" w:type="dxa"/>
              <w:bottom w:w="54" w:type="dxa"/>
              <w:right w:w="54" w:type="dxa"/>
            </w:tcMar>
          </w:tcPr>
          <w:p w14:paraId="756F1115"/>
        </w:tc>
        <w:tc>
          <w:tcPr>
            <w:tcW w:w="1254" w:type="dxa"/>
            <w:tcBorders>
              <w:top w:val="dotted" w:color="919191" w:sz="6" w:space="0"/>
              <w:left w:val="single" w:color="919191" w:sz="2" w:space="0"/>
              <w:bottom w:val="dotted" w:color="919191" w:sz="6" w:space="0"/>
              <w:right w:val="nil"/>
            </w:tcBorders>
            <w:shd w:val="clear" w:color="auto" w:fill="E1E1E1"/>
            <w:tcMar>
              <w:top w:w="54" w:type="dxa"/>
              <w:left w:w="54" w:type="dxa"/>
              <w:bottom w:w="54" w:type="dxa"/>
              <w:right w:w="54" w:type="dxa"/>
            </w:tcMar>
          </w:tcPr>
          <w:p w14:paraId="40EF4EEF"/>
        </w:tc>
      </w:tr>
      <w:tr w14:paraId="67C69BC1">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863" w:hRule="atLeast"/>
        </w:trPr>
        <w:tc>
          <w:tcPr>
            <w:tcW w:w="5194" w:type="dxa"/>
            <w:tcBorders>
              <w:top w:val="dotted" w:color="919191" w:sz="6" w:space="0"/>
              <w:left w:val="nil"/>
              <w:bottom w:val="dotted" w:color="919191" w:sz="6" w:space="0"/>
              <w:right w:val="single" w:color="919191" w:sz="2" w:space="0"/>
            </w:tcBorders>
            <w:shd w:val="clear" w:color="auto" w:fill="EEEEEE"/>
            <w:tcMar>
              <w:top w:w="54" w:type="dxa"/>
              <w:left w:w="54" w:type="dxa"/>
              <w:bottom w:w="54" w:type="dxa"/>
              <w:right w:w="54" w:type="dxa"/>
            </w:tcMar>
          </w:tcPr>
          <w:p w14:paraId="118434AC">
            <w:pPr>
              <w:pStyle w:val="3"/>
            </w:pPr>
            <w:r>
              <w:rPr>
                <w:rFonts w:eastAsia="Arial Unicode MS" w:cs="Arial Unicode MS"/>
              </w:rPr>
              <w:t>1.5. New and renovated facilities</w:t>
            </w:r>
          </w:p>
        </w:tc>
        <w:tc>
          <w:tcPr>
            <w:tcW w:w="1747"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17E5611C">
            <w:pPr>
              <w:pStyle w:val="3"/>
              <w:numPr>
                <w:ilvl w:val="1"/>
                <w:numId w:val="89"/>
              </w:numPr>
            </w:pPr>
            <w:r>
              <w:rPr>
                <w:rFonts w:eastAsia="Arial Unicode MS" w:cs="Arial Unicode MS"/>
                <w:lang w:val="en-US"/>
              </w:rPr>
              <w:t xml:space="preserve">Number of newly constructed facilities; </w:t>
            </w:r>
          </w:p>
          <w:p w14:paraId="55CB329B">
            <w:pPr>
              <w:pStyle w:val="3"/>
              <w:numPr>
                <w:ilvl w:val="1"/>
                <w:numId w:val="89"/>
              </w:numPr>
            </w:pPr>
            <w:r>
              <w:rPr>
                <w:rFonts w:eastAsia="Arial Unicode MS" w:cs="Arial Unicode MS"/>
                <w:lang w:val="en-US"/>
              </w:rPr>
              <w:t>Number of renovated facilities; percentage of projects delivered on time and within budget.</w:t>
            </w:r>
          </w:p>
        </w:tc>
        <w:tc>
          <w:tcPr>
            <w:tcW w:w="1303"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6F61506D">
            <w:pPr>
              <w:pStyle w:val="3"/>
              <w:numPr>
                <w:ilvl w:val="1"/>
                <w:numId w:val="90"/>
              </w:numPr>
            </w:pPr>
            <w:r>
              <w:rPr>
                <w:rFonts w:eastAsia="Arial Unicode MS" w:cs="Arial Unicode MS"/>
                <w:lang w:val="en-US"/>
              </w:rPr>
              <w:t>Project reports</w:t>
            </w:r>
          </w:p>
          <w:p w14:paraId="035769ED">
            <w:pPr>
              <w:pStyle w:val="3"/>
              <w:numPr>
                <w:ilvl w:val="1"/>
                <w:numId w:val="90"/>
              </w:numPr>
            </w:pPr>
            <w:r>
              <w:rPr>
                <w:rFonts w:eastAsia="Arial Unicode MS" w:cs="Arial Unicode MS"/>
                <w:lang w:val="en-US"/>
              </w:rPr>
              <w:t>Completion certificates</w:t>
            </w:r>
          </w:p>
          <w:p w14:paraId="4B875408">
            <w:pPr>
              <w:pStyle w:val="3"/>
              <w:numPr>
                <w:ilvl w:val="1"/>
                <w:numId w:val="90"/>
              </w:numPr>
            </w:pPr>
            <w:r>
              <w:rPr>
                <w:rFonts w:eastAsia="Arial Unicode MS" w:cs="Arial Unicode MS"/>
                <w:lang w:val="en-US"/>
              </w:rPr>
              <w:t>Physical inspection.</w:t>
            </w:r>
          </w:p>
        </w:tc>
        <w:tc>
          <w:tcPr>
            <w:tcW w:w="1254"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54" w:type="dxa"/>
            </w:tcMar>
          </w:tcPr>
          <w:p w14:paraId="21AF93D2">
            <w:pPr>
              <w:pStyle w:val="3"/>
            </w:pPr>
            <w:r>
              <w:rPr>
                <w:rFonts w:eastAsia="Arial Unicode MS" w:cs="Arial Unicode MS"/>
              </w:rPr>
              <w:t>Adequate funding and timely release of funds.</w:t>
            </w:r>
          </w:p>
        </w:tc>
      </w:tr>
      <w:tr w14:paraId="15AC376E">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470" w:hRule="atLeast"/>
        </w:trPr>
        <w:tc>
          <w:tcPr>
            <w:tcW w:w="5194" w:type="dxa"/>
            <w:tcBorders>
              <w:top w:val="dotted" w:color="919191" w:sz="6" w:space="0"/>
              <w:left w:val="nil"/>
              <w:bottom w:val="dotted" w:color="919191" w:sz="6" w:space="0"/>
              <w:right w:val="single" w:color="919191" w:sz="2" w:space="0"/>
            </w:tcBorders>
            <w:tcMar>
              <w:top w:w="54" w:type="dxa"/>
              <w:left w:w="54" w:type="dxa"/>
              <w:bottom w:w="54" w:type="dxa"/>
              <w:right w:w="54" w:type="dxa"/>
            </w:tcMar>
          </w:tcPr>
          <w:p w14:paraId="49522B5B">
            <w:pPr>
              <w:pStyle w:val="3"/>
            </w:pPr>
            <w:r>
              <w:rPr>
                <w:rFonts w:eastAsia="Arial Unicode MS" w:cs="Arial Unicode MS"/>
              </w:rPr>
              <w:t>1.6.  Energy-efficient systems installed</w:t>
            </w:r>
          </w:p>
        </w:tc>
        <w:tc>
          <w:tcPr>
            <w:tcW w:w="1747"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70561FA4">
            <w:pPr>
              <w:pStyle w:val="3"/>
              <w:numPr>
                <w:ilvl w:val="1"/>
                <w:numId w:val="91"/>
              </w:numPr>
            </w:pPr>
            <w:r>
              <w:rPr>
                <w:rFonts w:eastAsia="Arial Unicode MS" w:cs="Arial Unicode MS"/>
                <w:lang w:val="en-US"/>
              </w:rPr>
              <w:t>% reduction in energy consumption</w:t>
            </w:r>
          </w:p>
          <w:p w14:paraId="3308D1C3">
            <w:pPr>
              <w:pStyle w:val="3"/>
              <w:numPr>
                <w:ilvl w:val="1"/>
                <w:numId w:val="91"/>
              </w:numPr>
            </w:pPr>
            <w:r>
              <w:rPr>
                <w:rFonts w:eastAsia="Arial Unicode MS" w:cs="Arial Unicode MS"/>
                <w:lang w:val="en-US"/>
              </w:rPr>
              <w:t>cost savings</w:t>
            </w:r>
          </w:p>
          <w:p w14:paraId="7463F0FD">
            <w:pPr>
              <w:pStyle w:val="3"/>
              <w:numPr>
                <w:ilvl w:val="1"/>
                <w:numId w:val="91"/>
              </w:numPr>
            </w:pPr>
            <w:r>
              <w:rPr>
                <w:rFonts w:eastAsia="Arial Unicode MS" w:cs="Arial Unicode MS"/>
                <w:lang w:val="en-US"/>
              </w:rPr>
              <w:t>carbon footprint reduction.</w:t>
            </w:r>
          </w:p>
        </w:tc>
        <w:tc>
          <w:tcPr>
            <w:tcW w:w="1303"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3921213B">
            <w:pPr>
              <w:pStyle w:val="3"/>
              <w:numPr>
                <w:ilvl w:val="1"/>
                <w:numId w:val="92"/>
              </w:numPr>
            </w:pPr>
            <w:r>
              <w:rPr>
                <w:rFonts w:eastAsia="Arial Unicode MS" w:cs="Arial Unicode MS"/>
                <w:lang w:val="fr-FR"/>
              </w:rPr>
              <w:t>Installation records</w:t>
            </w:r>
          </w:p>
          <w:p w14:paraId="4704AFEC">
            <w:pPr>
              <w:pStyle w:val="3"/>
              <w:numPr>
                <w:ilvl w:val="1"/>
                <w:numId w:val="92"/>
              </w:numPr>
            </w:pPr>
            <w:r>
              <w:rPr>
                <w:rFonts w:eastAsia="Arial Unicode MS" w:cs="Arial Unicode MS"/>
                <w:lang w:val="en-US"/>
              </w:rPr>
              <w:t>Utility bills</w:t>
            </w:r>
          </w:p>
          <w:p w14:paraId="19DDC242">
            <w:pPr>
              <w:pStyle w:val="3"/>
              <w:numPr>
                <w:ilvl w:val="1"/>
                <w:numId w:val="92"/>
              </w:numPr>
            </w:pPr>
            <w:r>
              <w:rPr>
                <w:rFonts w:eastAsia="Arial Unicode MS" w:cs="Arial Unicode MS"/>
                <w:lang w:val="en-US"/>
              </w:rPr>
              <w:t>Energy audit reports.</w:t>
            </w:r>
          </w:p>
        </w:tc>
        <w:tc>
          <w:tcPr>
            <w:tcW w:w="1254" w:type="dxa"/>
            <w:tcBorders>
              <w:top w:val="dotted" w:color="919191" w:sz="6" w:space="0"/>
              <w:left w:val="single" w:color="919191" w:sz="2" w:space="0"/>
              <w:bottom w:val="dotted" w:color="919191" w:sz="6" w:space="0"/>
              <w:right w:val="nil"/>
            </w:tcBorders>
            <w:tcMar>
              <w:top w:w="54" w:type="dxa"/>
              <w:left w:w="54" w:type="dxa"/>
              <w:bottom w:w="54" w:type="dxa"/>
              <w:right w:w="54" w:type="dxa"/>
            </w:tcMar>
          </w:tcPr>
          <w:p w14:paraId="6B72296D">
            <w:pPr>
              <w:pStyle w:val="3"/>
            </w:pPr>
            <w:r>
              <w:rPr>
                <w:rFonts w:eastAsia="Arial Unicode MS" w:cs="Arial Unicode MS"/>
              </w:rPr>
              <w:t>Availability of technical expertise and willingness to adopt green technology.</w:t>
            </w:r>
          </w:p>
        </w:tc>
      </w:tr>
      <w:tr w14:paraId="47DE1ACC">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223" w:hRule="atLeast"/>
        </w:trPr>
        <w:tc>
          <w:tcPr>
            <w:tcW w:w="5194" w:type="dxa"/>
            <w:tcBorders>
              <w:top w:val="dotted" w:color="919191" w:sz="6" w:space="0"/>
              <w:left w:val="nil"/>
              <w:bottom w:val="dotted" w:color="919191" w:sz="6" w:space="0"/>
              <w:right w:val="single" w:color="919191" w:sz="2" w:space="0"/>
            </w:tcBorders>
            <w:shd w:val="clear" w:color="auto" w:fill="EEEEEE"/>
            <w:tcMar>
              <w:top w:w="54" w:type="dxa"/>
              <w:left w:w="54" w:type="dxa"/>
              <w:bottom w:w="54" w:type="dxa"/>
              <w:right w:w="54" w:type="dxa"/>
            </w:tcMar>
          </w:tcPr>
          <w:p w14:paraId="0AD741F8">
            <w:pPr>
              <w:pStyle w:val="3"/>
            </w:pPr>
            <w:r>
              <w:rPr>
                <w:rFonts w:eastAsia="Arial Unicode MS" w:cs="Arial Unicode MS"/>
              </w:rPr>
              <w:t>1.7.  Facility management plan</w:t>
            </w:r>
          </w:p>
        </w:tc>
        <w:tc>
          <w:tcPr>
            <w:tcW w:w="1747"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7F0A73BF">
            <w:pPr>
              <w:pStyle w:val="3"/>
              <w:numPr>
                <w:ilvl w:val="1"/>
                <w:numId w:val="93"/>
              </w:numPr>
            </w:pPr>
            <w:r>
              <w:rPr>
                <w:rFonts w:eastAsia="Arial Unicode MS" w:cs="Arial Unicode MS"/>
                <w:lang w:val="en-US"/>
              </w:rPr>
              <w:t>Number of staff trained</w:t>
            </w:r>
          </w:p>
          <w:p w14:paraId="4F07707B">
            <w:pPr>
              <w:pStyle w:val="3"/>
              <w:numPr>
                <w:ilvl w:val="1"/>
                <w:numId w:val="93"/>
              </w:numPr>
            </w:pPr>
            <w:r>
              <w:rPr>
                <w:rFonts w:eastAsia="Arial Unicode MS" w:cs="Arial Unicode MS"/>
                <w:lang w:val="en-US"/>
              </w:rPr>
              <w:t>Frequency of inspections and audits</w:t>
            </w:r>
          </w:p>
          <w:p w14:paraId="6B72EF87">
            <w:pPr>
              <w:pStyle w:val="3"/>
              <w:numPr>
                <w:ilvl w:val="1"/>
                <w:numId w:val="93"/>
              </w:numPr>
            </w:pPr>
            <w:r>
              <w:rPr>
                <w:rFonts w:eastAsia="Arial Unicode MS" w:cs="Arial Unicode MS"/>
                <w:lang w:val="en-US"/>
              </w:rPr>
              <w:t>Compliance with regulatory requirements.</w:t>
            </w:r>
          </w:p>
        </w:tc>
        <w:tc>
          <w:tcPr>
            <w:tcW w:w="1303"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335C0DDF">
            <w:pPr>
              <w:pStyle w:val="3"/>
              <w:numPr>
                <w:ilvl w:val="1"/>
                <w:numId w:val="94"/>
              </w:numPr>
            </w:pPr>
            <w:r>
              <w:rPr>
                <w:rFonts w:eastAsia="Arial Unicode MS" w:cs="Arial Unicode MS"/>
                <w:lang w:val="en-US"/>
              </w:rPr>
              <w:t>Facility management manuals</w:t>
            </w:r>
          </w:p>
          <w:p w14:paraId="6D8CF934">
            <w:pPr>
              <w:pStyle w:val="3"/>
              <w:numPr>
                <w:ilvl w:val="1"/>
                <w:numId w:val="94"/>
              </w:numPr>
            </w:pPr>
            <w:r>
              <w:rPr>
                <w:rFonts w:eastAsia="Arial Unicode MS" w:cs="Arial Unicode MS"/>
                <w:lang w:val="en-US"/>
              </w:rPr>
              <w:t>Training report</w:t>
            </w:r>
          </w:p>
          <w:p w14:paraId="54412DE2">
            <w:pPr>
              <w:pStyle w:val="3"/>
              <w:numPr>
                <w:ilvl w:val="1"/>
                <w:numId w:val="94"/>
              </w:numPr>
            </w:pPr>
            <w:r>
              <w:rPr>
                <w:rFonts w:eastAsia="Arial Unicode MS" w:cs="Arial Unicode MS"/>
                <w:lang w:val="en-US"/>
              </w:rPr>
              <w:t>Audit reports</w:t>
            </w:r>
          </w:p>
          <w:p w14:paraId="638A29D1">
            <w:pPr>
              <w:pStyle w:val="3"/>
              <w:numPr>
                <w:ilvl w:val="1"/>
                <w:numId w:val="94"/>
              </w:numPr>
            </w:pPr>
            <w:r>
              <w:rPr>
                <w:rFonts w:eastAsia="Arial Unicode MS" w:cs="Arial Unicode MS"/>
                <w:lang w:val="pt-PT"/>
              </w:rPr>
              <w:t>Compliance certificates.</w:t>
            </w:r>
          </w:p>
        </w:tc>
        <w:tc>
          <w:tcPr>
            <w:tcW w:w="1254"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54" w:type="dxa"/>
            </w:tcMar>
          </w:tcPr>
          <w:p w14:paraId="46731449">
            <w:pPr>
              <w:pStyle w:val="3"/>
            </w:pPr>
            <w:r>
              <w:rPr>
                <w:rFonts w:eastAsia="Arial Unicode MS" w:cs="Arial Unicode MS"/>
              </w:rPr>
              <w:t>Institutional support and continuous staff cooperation.</w:t>
            </w:r>
          </w:p>
        </w:tc>
      </w:tr>
      <w:tr w14:paraId="61A78EB9">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757" w:hRule="atLeast"/>
        </w:trPr>
        <w:tc>
          <w:tcPr>
            <w:tcW w:w="5194" w:type="dxa"/>
            <w:tcBorders>
              <w:top w:val="dotted" w:color="919191" w:sz="6" w:space="0"/>
              <w:left w:val="nil"/>
              <w:bottom w:val="dotted" w:color="919191" w:sz="6" w:space="0"/>
              <w:right w:val="single" w:color="919191" w:sz="2" w:space="0"/>
            </w:tcBorders>
            <w:tcMar>
              <w:top w:w="54" w:type="dxa"/>
              <w:left w:w="54" w:type="dxa"/>
              <w:bottom w:w="54" w:type="dxa"/>
              <w:right w:w="54" w:type="dxa"/>
            </w:tcMar>
          </w:tcPr>
          <w:p w14:paraId="2EB6DBA1">
            <w:pPr>
              <w:pStyle w:val="3"/>
            </w:pPr>
            <w:r>
              <w:rPr>
                <w:rFonts w:eastAsia="Arial Unicode MS" w:cs="Arial Unicode MS"/>
              </w:rPr>
              <w:t>1.8. Training and capacity building</w:t>
            </w:r>
          </w:p>
        </w:tc>
        <w:tc>
          <w:tcPr>
            <w:tcW w:w="1747"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381468F6">
            <w:pPr>
              <w:pStyle w:val="3"/>
              <w:numPr>
                <w:ilvl w:val="1"/>
                <w:numId w:val="95"/>
              </w:numPr>
            </w:pPr>
            <w:r>
              <w:rPr>
                <w:rFonts w:eastAsia="Arial Unicode MS" w:cs="Arial Unicode MS"/>
                <w:lang w:val="en-US"/>
              </w:rPr>
              <w:t>Number of staff trained</w:t>
            </w:r>
          </w:p>
          <w:p w14:paraId="020B650F">
            <w:pPr>
              <w:pStyle w:val="3"/>
              <w:numPr>
                <w:ilvl w:val="1"/>
                <w:numId w:val="95"/>
              </w:numPr>
            </w:pPr>
            <w:r>
              <w:rPr>
                <w:rFonts w:eastAsia="Arial Unicode MS" w:cs="Arial Unicode MS"/>
                <w:lang w:val="en-US"/>
              </w:rPr>
              <w:t>Staff competence and confidence levels</w:t>
            </w:r>
          </w:p>
          <w:p w14:paraId="0A30B310">
            <w:pPr>
              <w:pStyle w:val="3"/>
              <w:numPr>
                <w:ilvl w:val="1"/>
                <w:numId w:val="95"/>
              </w:numPr>
            </w:pPr>
            <w:r>
              <w:rPr>
                <w:rFonts w:eastAsia="Arial Unicode MS" w:cs="Arial Unicode MS"/>
                <w:lang w:val="en-US"/>
              </w:rPr>
              <w:t>reduction in errors or incidents.</w:t>
            </w:r>
          </w:p>
        </w:tc>
        <w:tc>
          <w:tcPr>
            <w:tcW w:w="1303"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095232A7">
            <w:pPr>
              <w:pStyle w:val="3"/>
              <w:numPr>
                <w:ilvl w:val="1"/>
                <w:numId w:val="96"/>
              </w:numPr>
            </w:pPr>
            <w:r>
              <w:rPr>
                <w:rFonts w:eastAsia="Arial Unicode MS" w:cs="Arial Unicode MS"/>
                <w:lang w:val="en-US"/>
              </w:rPr>
              <w:t>Training attendance records</w:t>
            </w:r>
          </w:p>
          <w:p w14:paraId="316DDFDD">
            <w:pPr>
              <w:pStyle w:val="3"/>
              <w:numPr>
                <w:ilvl w:val="1"/>
                <w:numId w:val="96"/>
              </w:numPr>
            </w:pPr>
            <w:r>
              <w:rPr>
                <w:rFonts w:eastAsia="Arial Unicode MS" w:cs="Arial Unicode MS"/>
                <w:lang w:val="en-US"/>
              </w:rPr>
              <w:t>evaluation forms</w:t>
            </w:r>
          </w:p>
          <w:p w14:paraId="5F31FC80">
            <w:pPr>
              <w:pStyle w:val="3"/>
              <w:numPr>
                <w:ilvl w:val="1"/>
                <w:numId w:val="96"/>
              </w:numPr>
            </w:pPr>
            <w:r>
              <w:rPr>
                <w:rFonts w:eastAsia="Arial Unicode MS" w:cs="Arial Unicode MS"/>
                <w:lang w:val="en-US"/>
              </w:rPr>
              <w:t>performance review reports.</w:t>
            </w:r>
          </w:p>
        </w:tc>
        <w:tc>
          <w:tcPr>
            <w:tcW w:w="1254" w:type="dxa"/>
            <w:tcBorders>
              <w:top w:val="dotted" w:color="919191" w:sz="6" w:space="0"/>
              <w:left w:val="single" w:color="919191" w:sz="2" w:space="0"/>
              <w:bottom w:val="dotted" w:color="919191" w:sz="6" w:space="0"/>
              <w:right w:val="nil"/>
            </w:tcBorders>
            <w:tcMar>
              <w:top w:w="54" w:type="dxa"/>
              <w:left w:w="54" w:type="dxa"/>
              <w:bottom w:w="54" w:type="dxa"/>
              <w:right w:w="54" w:type="dxa"/>
            </w:tcMar>
          </w:tcPr>
          <w:p w14:paraId="1BB09DEF">
            <w:pPr>
              <w:pStyle w:val="3"/>
            </w:pPr>
            <w:r>
              <w:rPr>
                <w:rFonts w:eastAsia="Arial Unicode MS" w:cs="Arial Unicode MS"/>
              </w:rPr>
              <w:t>Staff willingness to participate and apply new skills.</w:t>
            </w:r>
          </w:p>
        </w:tc>
      </w:tr>
      <w:tr w14:paraId="794DA801">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036" w:hRule="atLeast"/>
        </w:trPr>
        <w:tc>
          <w:tcPr>
            <w:tcW w:w="5194" w:type="dxa"/>
            <w:tcBorders>
              <w:top w:val="dotted" w:color="919191" w:sz="6" w:space="0"/>
              <w:left w:val="nil"/>
              <w:bottom w:val="nil"/>
              <w:right w:val="single" w:color="919191" w:sz="2" w:space="0"/>
            </w:tcBorders>
            <w:shd w:val="clear" w:color="auto" w:fill="EEEEEE"/>
            <w:tcMar>
              <w:top w:w="54" w:type="dxa"/>
              <w:left w:w="54" w:type="dxa"/>
              <w:bottom w:w="54" w:type="dxa"/>
              <w:right w:w="54" w:type="dxa"/>
            </w:tcMar>
          </w:tcPr>
          <w:p w14:paraId="741B322F">
            <w:pPr>
              <w:pStyle w:val="3"/>
            </w:pPr>
            <w:r>
              <w:rPr>
                <w:rFonts w:eastAsia="Arial Unicode MS" w:cs="Arial Unicode MS"/>
              </w:rPr>
              <w:t>1.9. Monitoring and evaluation framework</w:t>
            </w:r>
          </w:p>
        </w:tc>
        <w:tc>
          <w:tcPr>
            <w:tcW w:w="1747" w:type="dxa"/>
            <w:tcBorders>
              <w:top w:val="dotted" w:color="919191" w:sz="6" w:space="0"/>
              <w:left w:val="single" w:color="919191" w:sz="2" w:space="0"/>
              <w:bottom w:val="nil"/>
              <w:right w:val="single" w:color="919191" w:sz="2" w:space="0"/>
            </w:tcBorders>
            <w:shd w:val="clear" w:color="auto" w:fill="EEEEEE"/>
            <w:tcMar>
              <w:top w:w="54" w:type="dxa"/>
              <w:left w:w="54" w:type="dxa"/>
              <w:bottom w:w="54" w:type="dxa"/>
              <w:right w:w="54" w:type="dxa"/>
            </w:tcMar>
          </w:tcPr>
          <w:p w14:paraId="52613341">
            <w:pPr>
              <w:pStyle w:val="3"/>
              <w:numPr>
                <w:ilvl w:val="1"/>
                <w:numId w:val="97"/>
              </w:numPr>
            </w:pPr>
            <w:r>
              <w:rPr>
                <w:rFonts w:eastAsia="Arial Unicode MS" w:cs="Arial Unicode MS"/>
                <w:lang w:val="en-US"/>
              </w:rPr>
              <w:t xml:space="preserve">% of M&amp;E framework document completion status </w:t>
            </w:r>
          </w:p>
          <w:p w14:paraId="75F819F4">
            <w:pPr>
              <w:pStyle w:val="3"/>
              <w:numPr>
                <w:ilvl w:val="1"/>
                <w:numId w:val="97"/>
              </w:numPr>
            </w:pPr>
            <w:r>
              <w:rPr>
                <w:rFonts w:eastAsia="Arial Unicode MS" w:cs="Arial Unicode MS"/>
                <w:lang w:val="en-US"/>
              </w:rPr>
              <w:t xml:space="preserve">Number of strategic objectives covered in the framework </w:t>
            </w:r>
          </w:p>
          <w:p w14:paraId="4A08A192">
            <w:pPr>
              <w:pStyle w:val="3"/>
              <w:numPr>
                <w:ilvl w:val="1"/>
                <w:numId w:val="97"/>
              </w:numPr>
            </w:pPr>
            <w:r>
              <w:rPr>
                <w:rFonts w:eastAsia="Arial Unicode MS" w:cs="Arial Unicode MS"/>
                <w:lang w:val="en-US"/>
              </w:rPr>
              <w:t>Number of indicators developed per results chain level</w:t>
            </w:r>
          </w:p>
        </w:tc>
        <w:tc>
          <w:tcPr>
            <w:tcW w:w="1303" w:type="dxa"/>
            <w:tcBorders>
              <w:top w:val="dotted" w:color="919191" w:sz="6" w:space="0"/>
              <w:left w:val="single" w:color="919191" w:sz="2" w:space="0"/>
              <w:bottom w:val="nil"/>
              <w:right w:val="single" w:color="919191" w:sz="2" w:space="0"/>
            </w:tcBorders>
            <w:shd w:val="clear" w:color="auto" w:fill="EEEEEE"/>
            <w:tcMar>
              <w:top w:w="54" w:type="dxa"/>
              <w:left w:w="54" w:type="dxa"/>
              <w:bottom w:w="54" w:type="dxa"/>
              <w:right w:w="54" w:type="dxa"/>
            </w:tcMar>
          </w:tcPr>
          <w:p w14:paraId="482B4883">
            <w:pPr>
              <w:pStyle w:val="3"/>
              <w:numPr>
                <w:ilvl w:val="1"/>
                <w:numId w:val="98"/>
              </w:numPr>
            </w:pPr>
            <w:r>
              <w:rPr>
                <w:rFonts w:eastAsia="Arial Unicode MS" w:cs="Arial Unicode MS"/>
                <w:lang w:val="en-US"/>
              </w:rPr>
              <w:t>Approved M&amp;E plan</w:t>
            </w:r>
          </w:p>
          <w:p w14:paraId="3F89A7B3">
            <w:pPr>
              <w:pStyle w:val="3"/>
              <w:numPr>
                <w:ilvl w:val="1"/>
                <w:numId w:val="98"/>
              </w:numPr>
            </w:pPr>
            <w:r>
              <w:rPr>
                <w:rFonts w:eastAsia="Arial Unicode MS" w:cs="Arial Unicode MS"/>
                <w:lang w:val="en-US"/>
              </w:rPr>
              <w:t>Periodic reports; Stakeholder meeting minutes.</w:t>
            </w:r>
          </w:p>
        </w:tc>
        <w:tc>
          <w:tcPr>
            <w:tcW w:w="1254" w:type="dxa"/>
            <w:tcBorders>
              <w:top w:val="dotted" w:color="919191" w:sz="6" w:space="0"/>
              <w:left w:val="single" w:color="919191" w:sz="2" w:space="0"/>
              <w:bottom w:val="nil"/>
              <w:right w:val="nil"/>
            </w:tcBorders>
            <w:shd w:val="clear" w:color="auto" w:fill="EEEEEE"/>
            <w:tcMar>
              <w:top w:w="54" w:type="dxa"/>
              <w:left w:w="54" w:type="dxa"/>
              <w:bottom w:w="54" w:type="dxa"/>
              <w:right w:w="54" w:type="dxa"/>
            </w:tcMar>
          </w:tcPr>
          <w:p w14:paraId="1EF35D43">
            <w:pPr>
              <w:pStyle w:val="3"/>
            </w:pPr>
            <w:r>
              <w:rPr>
                <w:rFonts w:eastAsia="Arial Unicode MS" w:cs="Arial Unicode MS"/>
              </w:rPr>
              <w:t>Stakeholder participation and availability of reliable data.</w:t>
            </w:r>
          </w:p>
        </w:tc>
      </w:tr>
    </w:tbl>
    <w:p w14:paraId="3333384F">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4F03F19C">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6558CF60">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1B1890AF">
      <w:pPr>
        <w:pStyle w:val="3"/>
        <w:jc w:val="both"/>
        <w:rPr>
          <w:rFonts w:ascii="Helvetica Neue" w:hAnsi="Helvetica Neue" w:eastAsia="Helvetica Neue" w:cs="Helvetica Neue"/>
          <w:b/>
          <w:bCs/>
          <w:sz w:val="24"/>
          <w:szCs w:val="24"/>
        </w:rPr>
      </w:pPr>
      <w:r>
        <w:rPr>
          <w:rFonts w:ascii="Helvetica Neue" w:hAnsi="Helvetica Neue"/>
          <w:b/>
          <w:bCs/>
          <w:sz w:val="24"/>
          <w:szCs w:val="24"/>
          <w:lang w:val="en-US"/>
        </w:rPr>
        <w:t>Strategic Objective 2: Achieve Long-term Financial Viability</w:t>
      </w:r>
    </w:p>
    <w:p w14:paraId="18735840">
      <w:pPr>
        <w:pStyle w:val="3"/>
        <w:jc w:val="both"/>
        <w:rPr>
          <w:sz w:val="24"/>
          <w:szCs w:val="24"/>
        </w:rPr>
      </w:pPr>
      <w:r>
        <w:rPr>
          <w:sz w:val="24"/>
          <w:szCs w:val="24"/>
          <w:lang w:val="en-US"/>
        </w:rPr>
        <w:t>The following indicators in Table 2 are targeted towards achieving long-term financial viability at the University of Nigeria through Public-Private Partnership initiatives.</w:t>
      </w:r>
    </w:p>
    <w:p w14:paraId="1C0D5E74">
      <w:pPr>
        <w:pStyle w:val="3"/>
        <w:jc w:val="both"/>
        <w:rPr>
          <w:sz w:val="24"/>
          <w:szCs w:val="24"/>
        </w:rPr>
      </w:pPr>
    </w:p>
    <w:p w14:paraId="47ED3B64">
      <w:pPr>
        <w:pStyle w:val="3"/>
        <w:jc w:val="both"/>
        <w:rPr>
          <w:sz w:val="24"/>
          <w:szCs w:val="24"/>
        </w:rPr>
      </w:pPr>
    </w:p>
    <w:p w14:paraId="730C4E75">
      <w:pPr>
        <w:pStyle w:val="3"/>
        <w:jc w:val="both"/>
        <w:rPr>
          <w:sz w:val="24"/>
          <w:szCs w:val="24"/>
        </w:rPr>
      </w:pPr>
    </w:p>
    <w:p w14:paraId="3A2AC442">
      <w:pPr>
        <w:pStyle w:val="3"/>
        <w:jc w:val="both"/>
        <w:rPr>
          <w:sz w:val="24"/>
          <w:szCs w:val="24"/>
        </w:rPr>
      </w:pPr>
    </w:p>
    <w:p w14:paraId="15B7E515">
      <w:pPr>
        <w:pStyle w:val="3"/>
        <w:jc w:val="both"/>
        <w:rPr>
          <w:sz w:val="24"/>
          <w:szCs w:val="24"/>
        </w:rPr>
      </w:pPr>
      <w:r>
        <w:rPr>
          <w:sz w:val="24"/>
          <w:szCs w:val="24"/>
          <w:lang w:val="en-US"/>
        </w:rPr>
        <w:t>Table 2: Logical Framework for Strategic Objective 2</w:t>
      </w:r>
    </w:p>
    <w:p w14:paraId="4ADC0695">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b/>
          <w:bCs/>
          <w:sz w:val="24"/>
          <w:szCs w:val="24"/>
        </w:rPr>
      </w:pPr>
    </w:p>
    <w:tbl>
      <w:tblPr>
        <w:tblStyle w:val="6"/>
        <w:tblW w:w="9360" w:type="dxa"/>
        <w:tblInd w:w="108" w:type="dxa"/>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Layout w:type="fixed"/>
        <w:tblCellMar>
          <w:top w:w="0" w:type="dxa"/>
          <w:left w:w="108" w:type="dxa"/>
          <w:bottom w:w="0" w:type="dxa"/>
          <w:right w:w="108" w:type="dxa"/>
        </w:tblCellMar>
      </w:tblPr>
      <w:tblGrid>
        <w:gridCol w:w="1937"/>
        <w:gridCol w:w="3337"/>
        <w:gridCol w:w="2413"/>
        <w:gridCol w:w="1673"/>
      </w:tblGrid>
      <w:tr w14:paraId="3110DB66">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529" w:hRule="atLeast"/>
        </w:trPr>
        <w:tc>
          <w:tcPr>
            <w:tcW w:w="1937" w:type="dxa"/>
            <w:tcBorders>
              <w:top w:val="nil"/>
              <w:left w:val="nil"/>
              <w:bottom w:val="dotted" w:color="919191" w:sz="6" w:space="0"/>
              <w:right w:val="single" w:color="919191" w:sz="2" w:space="0"/>
            </w:tcBorders>
            <w:shd w:val="clear" w:color="auto" w:fill="E1E1E1"/>
            <w:tcMar>
              <w:top w:w="54" w:type="dxa"/>
              <w:left w:w="54" w:type="dxa"/>
              <w:bottom w:w="54" w:type="dxa"/>
              <w:right w:w="54" w:type="dxa"/>
            </w:tcMar>
          </w:tcPr>
          <w:p w14:paraId="75F5658E">
            <w:pPr>
              <w:pStyle w:val="3"/>
            </w:pPr>
            <w:r>
              <w:rPr>
                <w:rFonts w:eastAsia="Arial Unicode MS" w:cs="Arial Unicode MS"/>
              </w:rPr>
              <w:t>Outcome</w:t>
            </w:r>
          </w:p>
        </w:tc>
        <w:tc>
          <w:tcPr>
            <w:tcW w:w="3336" w:type="dxa"/>
            <w:tcBorders>
              <w:top w:val="nil"/>
              <w:left w:val="single" w:color="919191" w:sz="2" w:space="0"/>
              <w:bottom w:val="dotted" w:color="919191" w:sz="6" w:space="0"/>
              <w:right w:val="single" w:color="919191" w:sz="2" w:space="0"/>
            </w:tcBorders>
            <w:shd w:val="clear" w:color="auto" w:fill="E1E1E1"/>
            <w:tcMar>
              <w:top w:w="54" w:type="dxa"/>
              <w:left w:w="54" w:type="dxa"/>
              <w:bottom w:w="54" w:type="dxa"/>
              <w:right w:w="54" w:type="dxa"/>
            </w:tcMar>
          </w:tcPr>
          <w:p w14:paraId="6245FA36">
            <w:pPr>
              <w:pStyle w:val="3"/>
            </w:pPr>
            <w:r>
              <w:rPr>
                <w:rFonts w:eastAsia="Arial Unicode MS" w:cs="Arial Unicode MS"/>
              </w:rPr>
              <w:t>Indicators and Metrics</w:t>
            </w:r>
          </w:p>
        </w:tc>
        <w:tc>
          <w:tcPr>
            <w:tcW w:w="2412" w:type="dxa"/>
            <w:tcBorders>
              <w:top w:val="nil"/>
              <w:left w:val="single" w:color="919191" w:sz="2" w:space="0"/>
              <w:bottom w:val="dotted" w:color="919191" w:sz="6" w:space="0"/>
              <w:right w:val="single" w:color="919191" w:sz="2" w:space="0"/>
            </w:tcBorders>
            <w:shd w:val="clear" w:color="auto" w:fill="E1E1E1"/>
            <w:tcMar>
              <w:top w:w="54" w:type="dxa"/>
              <w:left w:w="54" w:type="dxa"/>
              <w:bottom w:w="54" w:type="dxa"/>
              <w:right w:w="54" w:type="dxa"/>
            </w:tcMar>
          </w:tcPr>
          <w:p w14:paraId="319CCC99">
            <w:pPr>
              <w:pStyle w:val="3"/>
            </w:pPr>
            <w:r>
              <w:rPr>
                <w:rFonts w:eastAsia="Arial Unicode MS" w:cs="Arial Unicode MS"/>
              </w:rPr>
              <w:t>Means of Verification</w:t>
            </w:r>
          </w:p>
        </w:tc>
        <w:tc>
          <w:tcPr>
            <w:tcW w:w="1673" w:type="dxa"/>
            <w:tcBorders>
              <w:top w:val="nil"/>
              <w:left w:val="single" w:color="919191" w:sz="2" w:space="0"/>
              <w:bottom w:val="dotted" w:color="919191" w:sz="6" w:space="0"/>
              <w:right w:val="nil"/>
            </w:tcBorders>
            <w:shd w:val="clear" w:color="auto" w:fill="E1E1E1"/>
            <w:tcMar>
              <w:top w:w="54" w:type="dxa"/>
              <w:left w:w="54" w:type="dxa"/>
              <w:bottom w:w="54" w:type="dxa"/>
              <w:right w:w="54" w:type="dxa"/>
            </w:tcMar>
          </w:tcPr>
          <w:p w14:paraId="6761E165">
            <w:pPr>
              <w:pStyle w:val="3"/>
            </w:pPr>
            <w:r>
              <w:rPr>
                <w:rFonts w:eastAsia="Arial Unicode MS" w:cs="Arial Unicode MS"/>
              </w:rPr>
              <w:t>Assumptions for the Objective</w:t>
            </w:r>
          </w:p>
        </w:tc>
      </w:tr>
      <w:tr w14:paraId="775F0375">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49" w:hRule="atLeast"/>
        </w:trPr>
        <w:tc>
          <w:tcPr>
            <w:tcW w:w="1937" w:type="dxa"/>
            <w:tcBorders>
              <w:top w:val="dotted" w:color="919191" w:sz="6" w:space="0"/>
              <w:left w:val="nil"/>
              <w:bottom w:val="dotted" w:color="919191" w:sz="6" w:space="0"/>
              <w:right w:val="single" w:color="919191" w:sz="2" w:space="0"/>
            </w:tcBorders>
            <w:shd w:val="clear" w:color="auto" w:fill="E1E1E1"/>
            <w:tcMar>
              <w:top w:w="54" w:type="dxa"/>
              <w:left w:w="54" w:type="dxa"/>
              <w:bottom w:w="54" w:type="dxa"/>
              <w:right w:w="54" w:type="dxa"/>
            </w:tcMar>
          </w:tcPr>
          <w:p w14:paraId="6EBDAD9F"/>
        </w:tc>
        <w:tc>
          <w:tcPr>
            <w:tcW w:w="3336" w:type="dxa"/>
            <w:tcBorders>
              <w:top w:val="dotted" w:color="919191" w:sz="6" w:space="0"/>
              <w:left w:val="single" w:color="919191" w:sz="2" w:space="0"/>
              <w:bottom w:val="dotted" w:color="919191" w:sz="6" w:space="0"/>
              <w:right w:val="single" w:color="919191" w:sz="2" w:space="0"/>
            </w:tcBorders>
            <w:shd w:val="clear" w:color="auto" w:fill="EEEEEE"/>
            <w:tcMar>
              <w:top w:w="80" w:type="dxa"/>
              <w:left w:w="80" w:type="dxa"/>
              <w:bottom w:w="80" w:type="dxa"/>
              <w:right w:w="80" w:type="dxa"/>
            </w:tcMar>
          </w:tcPr>
          <w:p w14:paraId="7DBA973B"/>
        </w:tc>
        <w:tc>
          <w:tcPr>
            <w:tcW w:w="2412" w:type="dxa"/>
            <w:tcBorders>
              <w:top w:val="dotted" w:color="919191" w:sz="6" w:space="0"/>
              <w:left w:val="single" w:color="919191" w:sz="2" w:space="0"/>
              <w:bottom w:val="dotted" w:color="919191" w:sz="6" w:space="0"/>
              <w:right w:val="single" w:color="919191" w:sz="2" w:space="0"/>
            </w:tcBorders>
            <w:shd w:val="clear" w:color="auto" w:fill="EEEEEE"/>
            <w:tcMar>
              <w:top w:w="80" w:type="dxa"/>
              <w:left w:w="80" w:type="dxa"/>
              <w:bottom w:w="80" w:type="dxa"/>
              <w:right w:w="80" w:type="dxa"/>
            </w:tcMar>
          </w:tcPr>
          <w:p w14:paraId="7A48B6FA"/>
        </w:tc>
        <w:tc>
          <w:tcPr>
            <w:tcW w:w="1673" w:type="dxa"/>
            <w:tcBorders>
              <w:top w:val="dotted" w:color="919191" w:sz="6" w:space="0"/>
              <w:left w:val="single" w:color="919191" w:sz="2" w:space="0"/>
              <w:bottom w:val="dotted" w:color="919191" w:sz="6" w:space="0"/>
              <w:right w:val="nil"/>
            </w:tcBorders>
            <w:shd w:val="clear" w:color="auto" w:fill="EEEEEE"/>
            <w:tcMar>
              <w:top w:w="80" w:type="dxa"/>
              <w:left w:w="80" w:type="dxa"/>
              <w:bottom w:w="80" w:type="dxa"/>
              <w:right w:w="80" w:type="dxa"/>
            </w:tcMar>
          </w:tcPr>
          <w:p w14:paraId="52A0A176"/>
        </w:tc>
      </w:tr>
      <w:tr w14:paraId="0921648B">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310" w:hRule="atLeast"/>
        </w:trPr>
        <w:tc>
          <w:tcPr>
            <w:tcW w:w="1937" w:type="dxa"/>
            <w:tcBorders>
              <w:top w:val="dotted" w:color="919191" w:sz="6" w:space="0"/>
              <w:left w:val="nil"/>
              <w:bottom w:val="dotted" w:color="919191" w:sz="6" w:space="0"/>
              <w:right w:val="single" w:color="919191" w:sz="2" w:space="0"/>
            </w:tcBorders>
            <w:tcMar>
              <w:top w:w="54" w:type="dxa"/>
              <w:left w:w="54" w:type="dxa"/>
              <w:bottom w:w="54" w:type="dxa"/>
              <w:right w:w="54" w:type="dxa"/>
            </w:tcMar>
          </w:tcPr>
          <w:p w14:paraId="1314864F">
            <w:pPr>
              <w:pStyle w:val="3"/>
            </w:pPr>
            <w:r>
              <w:rPr>
                <w:rFonts w:eastAsia="Arial Unicode MS" w:cs="Arial Unicode MS"/>
              </w:rPr>
              <w:t>2.1 Cost-effective and predictable funding models</w:t>
            </w:r>
          </w:p>
        </w:tc>
        <w:tc>
          <w:tcPr>
            <w:tcW w:w="3336" w:type="dxa"/>
            <w:tcBorders>
              <w:top w:val="dotted" w:color="919191" w:sz="6" w:space="0"/>
              <w:left w:val="single" w:color="919191" w:sz="2" w:space="0"/>
              <w:bottom w:val="dotted" w:color="919191" w:sz="6" w:space="0"/>
              <w:right w:val="single" w:color="919191" w:sz="2" w:space="0"/>
            </w:tcBorders>
            <w:tcMar>
              <w:top w:w="80" w:type="dxa"/>
              <w:left w:w="80" w:type="dxa"/>
              <w:bottom w:w="80" w:type="dxa"/>
              <w:right w:w="554" w:type="dxa"/>
            </w:tcMar>
          </w:tcPr>
          <w:p w14:paraId="15714045">
            <w:pPr>
              <w:pStyle w:val="3"/>
            </w:pPr>
            <w:r>
              <w:rPr>
                <w:rFonts w:eastAsia="Arial Unicode MS" w:cs="Arial Unicode MS"/>
                <w:lang w:val="en-US"/>
              </w:rPr>
              <w:t xml:space="preserve">"Percentage reduction in net financial burden </w:t>
            </w:r>
          </w:p>
          <w:p w14:paraId="34BB5A0E">
            <w:pPr>
              <w:pStyle w:val="3"/>
            </w:pPr>
            <w:r>
              <w:rPr>
                <w:rFonts w:eastAsia="Arial Unicode MS" w:cs="Arial Unicode MS"/>
                <w:lang w:val="en-US"/>
              </w:rPr>
              <w:t>Savings/avoidance from efficient facility management</w:t>
            </w:r>
          </w:p>
          <w:p w14:paraId="127A8D67">
            <w:pPr>
              <w:pStyle w:val="3"/>
            </w:pPr>
            <w:r>
              <w:rPr>
                <w:rFonts w:eastAsia="Arial Unicode MS" w:cs="Arial Unicode MS"/>
                <w:lang w:val="en-US"/>
              </w:rPr>
              <w:t>Variance of PPP inflows vs plan</w:t>
            </w:r>
          </w:p>
          <w:p w14:paraId="028F5262">
            <w:pPr>
              <w:pStyle w:val="3"/>
            </w:pPr>
            <w:r>
              <w:rPr>
                <w:rFonts w:eastAsia="Arial Unicode MS" w:cs="Arial Unicode MS"/>
                <w:lang w:val="en-US"/>
              </w:rPr>
              <w:t>Percentage of budget allocated to operations and maintenance/upgrade."</w:t>
            </w:r>
          </w:p>
        </w:tc>
        <w:tc>
          <w:tcPr>
            <w:tcW w:w="2412"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4F582249">
            <w:pPr>
              <w:pStyle w:val="3"/>
            </w:pPr>
            <w:r>
              <w:rPr>
                <w:rFonts w:eastAsia="Arial Unicode MS" w:cs="Arial Unicode MS"/>
                <w:lang w:val="en-US"/>
              </w:rPr>
              <w:t>"Audited financial statements</w:t>
            </w:r>
          </w:p>
          <w:p w14:paraId="03283C91">
            <w:pPr>
              <w:pStyle w:val="3"/>
            </w:pPr>
            <w:r>
              <w:rPr>
                <w:rFonts w:eastAsia="Arial Unicode MS" w:cs="Arial Unicode MS"/>
                <w:lang w:val="en-US"/>
              </w:rPr>
              <w:t>PPP contracts &amp; disbursement schedules</w:t>
            </w:r>
          </w:p>
          <w:p w14:paraId="39A83C53">
            <w:pPr>
              <w:pStyle w:val="3"/>
            </w:pPr>
            <w:r>
              <w:rPr>
                <w:rFonts w:eastAsia="Arial Unicode MS" w:cs="Arial Unicode MS"/>
                <w:lang w:val="en-US"/>
              </w:rPr>
              <w:t>Budgets</w:t>
            </w:r>
          </w:p>
          <w:p w14:paraId="061F1818">
            <w:pPr>
              <w:pStyle w:val="3"/>
            </w:pPr>
            <w:r>
              <w:rPr>
                <w:rFonts w:eastAsia="Arial Unicode MS" w:cs="Arial Unicode MS"/>
                <w:lang w:val="it-IT"/>
              </w:rPr>
              <w:t>cost</w:t>
            </w:r>
            <w:r>
              <w:rPr>
                <w:rFonts w:eastAsia="Arial Unicode MS" w:cs="Arial Unicode MS"/>
              </w:rPr>
              <w:t>–</w:t>
            </w:r>
            <w:r>
              <w:rPr>
                <w:rFonts w:eastAsia="Arial Unicode MS" w:cs="Arial Unicode MS"/>
                <w:lang w:val="en-US"/>
              </w:rPr>
              <w:t>benefit analyses."</w:t>
            </w:r>
          </w:p>
        </w:tc>
        <w:tc>
          <w:tcPr>
            <w:tcW w:w="1673" w:type="dxa"/>
            <w:tcBorders>
              <w:top w:val="dotted" w:color="919191" w:sz="6" w:space="0"/>
              <w:left w:val="single" w:color="919191" w:sz="2" w:space="0"/>
              <w:bottom w:val="dotted" w:color="919191" w:sz="6" w:space="0"/>
              <w:right w:val="nil"/>
            </w:tcBorders>
            <w:tcMar>
              <w:top w:w="54" w:type="dxa"/>
              <w:left w:w="54" w:type="dxa"/>
              <w:bottom w:w="54" w:type="dxa"/>
              <w:right w:w="54" w:type="dxa"/>
            </w:tcMar>
          </w:tcPr>
          <w:p w14:paraId="71EC1653">
            <w:pPr>
              <w:pStyle w:val="3"/>
            </w:pPr>
            <w:r>
              <w:rPr>
                <w:rFonts w:eastAsia="Arial Unicode MS" w:cs="Arial Unicode MS"/>
              </w:rPr>
              <w:t>Stable macroeconomic &amp; policy environment; timely releases; clear PPP risk-sharing.</w:t>
            </w:r>
          </w:p>
        </w:tc>
      </w:tr>
      <w:tr w14:paraId="7BD28C27">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157" w:hRule="atLeast"/>
        </w:trPr>
        <w:tc>
          <w:tcPr>
            <w:tcW w:w="1937" w:type="dxa"/>
            <w:tcBorders>
              <w:top w:val="dotted" w:color="919191" w:sz="6" w:space="0"/>
              <w:left w:val="nil"/>
              <w:bottom w:val="dotted" w:color="919191" w:sz="6" w:space="0"/>
              <w:right w:val="single" w:color="919191" w:sz="2" w:space="0"/>
            </w:tcBorders>
            <w:shd w:val="clear" w:color="auto" w:fill="EEEEEE"/>
            <w:tcMar>
              <w:top w:w="54" w:type="dxa"/>
              <w:left w:w="54" w:type="dxa"/>
              <w:bottom w:w="54" w:type="dxa"/>
              <w:right w:w="54" w:type="dxa"/>
            </w:tcMar>
          </w:tcPr>
          <w:p w14:paraId="611ADBAC">
            <w:pPr>
              <w:pStyle w:val="3"/>
            </w:pPr>
            <w:r>
              <w:rPr>
                <w:rFonts w:eastAsia="Arial Unicode MS" w:cs="Arial Unicode MS"/>
              </w:rPr>
              <w:t>2.2 Strengthened stakeholder confidence in PPP and financial governance</w:t>
            </w:r>
          </w:p>
        </w:tc>
        <w:tc>
          <w:tcPr>
            <w:tcW w:w="3336"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5E6A31A5">
            <w:pPr>
              <w:pStyle w:val="3"/>
            </w:pPr>
            <w:r>
              <w:rPr>
                <w:rFonts w:eastAsia="Arial Unicode MS" w:cs="Arial Unicode MS"/>
              </w:rPr>
              <w:t>Timely unqualified audit opinions</w:t>
            </w:r>
          </w:p>
          <w:p w14:paraId="2AFF70D1">
            <w:pPr>
              <w:pStyle w:val="3"/>
            </w:pPr>
            <w:r>
              <w:rPr>
                <w:rFonts w:eastAsia="Arial Unicode MS" w:cs="Arial Unicode MS"/>
              </w:rPr>
              <w:t>partner renewal/retention rate and value</w:t>
            </w:r>
          </w:p>
          <w:p w14:paraId="2497CEA8">
            <w:pPr>
              <w:pStyle w:val="3"/>
            </w:pPr>
            <w:r>
              <w:rPr>
                <w:rFonts w:eastAsia="Arial Unicode MS" w:cs="Arial Unicode MS"/>
              </w:rPr>
              <w:t>compliance with PPP/procurement rules</w:t>
            </w:r>
          </w:p>
          <w:p w14:paraId="6EDFB681">
            <w:pPr>
              <w:pStyle w:val="3"/>
            </w:pPr>
            <w:r>
              <w:rPr>
                <w:rFonts w:eastAsia="Arial Unicode MS" w:cs="Arial Unicode MS"/>
              </w:rPr>
              <w:t>grievance redress closure rate</w:t>
            </w:r>
          </w:p>
          <w:p w14:paraId="17696AE7">
            <w:pPr>
              <w:pStyle w:val="3"/>
            </w:pPr>
            <w:r>
              <w:rPr>
                <w:rFonts w:eastAsia="Arial Unicode MS" w:cs="Arial Unicode MS"/>
              </w:rPr>
              <w:t>donor/alumni contributions trend.</w:t>
            </w:r>
          </w:p>
          <w:p w14:paraId="4236D2F2">
            <w:pPr>
              <w:pStyle w:val="3"/>
            </w:pPr>
          </w:p>
        </w:tc>
        <w:tc>
          <w:tcPr>
            <w:tcW w:w="2412"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4C475C24">
            <w:pPr>
              <w:pStyle w:val="3"/>
            </w:pPr>
            <w:r>
              <w:rPr>
                <w:rFonts w:eastAsia="Arial Unicode MS" w:cs="Arial Unicode MS"/>
              </w:rPr>
              <w:t>External &amp; internal audit reports</w:t>
            </w:r>
          </w:p>
          <w:p w14:paraId="68A69CD4">
            <w:pPr>
              <w:pStyle w:val="3"/>
            </w:pPr>
            <w:r>
              <w:rPr>
                <w:rFonts w:eastAsia="Arial Unicode MS" w:cs="Arial Unicode MS"/>
              </w:rPr>
              <w:t>PPP compliance letters</w:t>
            </w:r>
          </w:p>
          <w:p w14:paraId="5ADB635B">
            <w:pPr>
              <w:pStyle w:val="3"/>
            </w:pPr>
            <w:r>
              <w:rPr>
                <w:rFonts w:eastAsia="Arial Unicode MS" w:cs="Arial Unicode MS"/>
              </w:rPr>
              <w:t>Memoranda of Understanding renewals</w:t>
            </w:r>
          </w:p>
          <w:p w14:paraId="2D7F7AF1">
            <w:pPr>
              <w:pStyle w:val="3"/>
            </w:pPr>
            <w:r>
              <w:rPr>
                <w:rFonts w:eastAsia="Arial Unicode MS" w:cs="Arial Unicode MS"/>
              </w:rPr>
              <w:t>grievance logs</w:t>
            </w:r>
          </w:p>
          <w:p w14:paraId="0E9C4413">
            <w:pPr>
              <w:pStyle w:val="3"/>
            </w:pPr>
            <w:r>
              <w:rPr>
                <w:rFonts w:eastAsia="Arial Unicode MS" w:cs="Arial Unicode MS"/>
              </w:rPr>
              <w:t>fundraising reports.</w:t>
            </w:r>
          </w:p>
          <w:p w14:paraId="1BEC3C2F">
            <w:pPr>
              <w:pStyle w:val="3"/>
            </w:pPr>
          </w:p>
        </w:tc>
        <w:tc>
          <w:tcPr>
            <w:tcW w:w="1673"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54" w:type="dxa"/>
            </w:tcMar>
          </w:tcPr>
          <w:p w14:paraId="50CDA227">
            <w:pPr>
              <w:pStyle w:val="3"/>
            </w:pPr>
            <w:r>
              <w:rPr>
                <w:rFonts w:eastAsia="Arial Unicode MS" w:cs="Arial Unicode MS"/>
              </w:rPr>
              <w:t>Transparency and leadership commitment to accountability.</w:t>
            </w:r>
          </w:p>
        </w:tc>
      </w:tr>
      <w:tr w14:paraId="3BAC3846">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510" w:hRule="atLeast"/>
        </w:trPr>
        <w:tc>
          <w:tcPr>
            <w:tcW w:w="1937" w:type="dxa"/>
            <w:tcBorders>
              <w:top w:val="dotted" w:color="919191" w:sz="6" w:space="0"/>
              <w:left w:val="nil"/>
              <w:bottom w:val="dotted" w:color="919191" w:sz="6" w:space="0"/>
              <w:right w:val="single" w:color="919191" w:sz="2" w:space="0"/>
            </w:tcBorders>
            <w:tcMar>
              <w:top w:w="54" w:type="dxa"/>
              <w:left w:w="54" w:type="dxa"/>
              <w:bottom w:w="54" w:type="dxa"/>
              <w:right w:w="54" w:type="dxa"/>
            </w:tcMar>
          </w:tcPr>
          <w:p w14:paraId="5757BA23">
            <w:pPr>
              <w:pStyle w:val="3"/>
            </w:pPr>
            <w:r>
              <w:rPr>
                <w:rFonts w:eastAsia="Arial Unicode MS" w:cs="Arial Unicode MS"/>
              </w:rPr>
              <w:t>2.3 Improved institutional financial management capacity</w:t>
            </w:r>
          </w:p>
        </w:tc>
        <w:tc>
          <w:tcPr>
            <w:tcW w:w="3336"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5B8CC839">
            <w:pPr>
              <w:pStyle w:val="3"/>
              <w:numPr>
                <w:ilvl w:val="1"/>
                <w:numId w:val="99"/>
              </w:numPr>
            </w:pPr>
            <w:r>
              <w:rPr>
                <w:rFonts w:eastAsia="Arial Unicode MS" w:cs="Arial Unicode MS"/>
                <w:lang w:val="en-US"/>
              </w:rPr>
              <w:t xml:space="preserve">Number/percentage of finance staff trained in PPP management; adoption of Enterprise </w:t>
            </w:r>
          </w:p>
          <w:p w14:paraId="42EA280B">
            <w:pPr>
              <w:pStyle w:val="3"/>
              <w:numPr>
                <w:ilvl w:val="1"/>
                <w:numId w:val="99"/>
              </w:numPr>
            </w:pPr>
            <w:r>
              <w:rPr>
                <w:rFonts w:eastAsia="Arial Unicode MS" w:cs="Arial Unicode MS"/>
                <w:lang w:val="en-US"/>
              </w:rPr>
              <w:t>Resource Planning (ERP)/modern finance systems</w:t>
            </w:r>
          </w:p>
          <w:p w14:paraId="2C0F1912">
            <w:pPr>
              <w:pStyle w:val="3"/>
              <w:numPr>
                <w:ilvl w:val="1"/>
                <w:numId w:val="99"/>
              </w:numPr>
            </w:pPr>
            <w:r>
              <w:rPr>
                <w:rFonts w:eastAsia="Arial Unicode MS" w:cs="Arial Unicode MS"/>
                <w:lang w:val="en-US"/>
              </w:rPr>
              <w:t>Timeliness of financial reporting</w:t>
            </w:r>
          </w:p>
          <w:p w14:paraId="5A4190AB">
            <w:pPr>
              <w:pStyle w:val="3"/>
              <w:numPr>
                <w:ilvl w:val="1"/>
                <w:numId w:val="99"/>
              </w:numPr>
            </w:pPr>
            <w:r>
              <w:rPr>
                <w:rFonts w:eastAsia="Arial Unicode MS" w:cs="Arial Unicode MS"/>
                <w:lang w:val="en-US"/>
              </w:rPr>
              <w:t>Accuracy of forecasts vs actuals.</w:t>
            </w:r>
          </w:p>
        </w:tc>
        <w:tc>
          <w:tcPr>
            <w:tcW w:w="2412"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2057D4C1">
            <w:pPr>
              <w:pStyle w:val="3"/>
              <w:numPr>
                <w:ilvl w:val="1"/>
                <w:numId w:val="100"/>
              </w:numPr>
            </w:pPr>
            <w:r>
              <w:rPr>
                <w:rFonts w:eastAsia="Arial Unicode MS" w:cs="Arial Unicode MS"/>
                <w:lang w:val="en-US"/>
              </w:rPr>
              <w:t>Training records</w:t>
            </w:r>
          </w:p>
          <w:p w14:paraId="6489A16A">
            <w:pPr>
              <w:pStyle w:val="3"/>
              <w:numPr>
                <w:ilvl w:val="1"/>
                <w:numId w:val="100"/>
              </w:numPr>
            </w:pPr>
            <w:r>
              <w:rPr>
                <w:rFonts w:eastAsia="Arial Unicode MS" w:cs="Arial Unicode MS"/>
                <w:lang w:val="de-DE"/>
              </w:rPr>
              <w:t>ERP/system logs</w:t>
            </w:r>
          </w:p>
          <w:p w14:paraId="0F024D48">
            <w:pPr>
              <w:pStyle w:val="3"/>
              <w:numPr>
                <w:ilvl w:val="1"/>
                <w:numId w:val="100"/>
              </w:numPr>
            </w:pPr>
            <w:r>
              <w:rPr>
                <w:rFonts w:eastAsia="Arial Unicode MS" w:cs="Arial Unicode MS"/>
                <w:lang w:val="en-US"/>
              </w:rPr>
              <w:t>Financial reports</w:t>
            </w:r>
          </w:p>
          <w:p w14:paraId="665B7A9A">
            <w:pPr>
              <w:pStyle w:val="3"/>
              <w:numPr>
                <w:ilvl w:val="1"/>
                <w:numId w:val="100"/>
              </w:numPr>
            </w:pPr>
            <w:r>
              <w:rPr>
                <w:rFonts w:eastAsia="Arial Unicode MS" w:cs="Arial Unicode MS"/>
                <w:lang w:val="en-US"/>
              </w:rPr>
              <w:t>Performance appraisals.</w:t>
            </w:r>
          </w:p>
        </w:tc>
        <w:tc>
          <w:tcPr>
            <w:tcW w:w="1673" w:type="dxa"/>
            <w:tcBorders>
              <w:top w:val="dotted" w:color="919191" w:sz="6" w:space="0"/>
              <w:left w:val="single" w:color="919191" w:sz="2" w:space="0"/>
              <w:bottom w:val="dotted" w:color="919191" w:sz="6" w:space="0"/>
              <w:right w:val="nil"/>
            </w:tcBorders>
            <w:tcMar>
              <w:top w:w="54" w:type="dxa"/>
              <w:left w:w="54" w:type="dxa"/>
              <w:bottom w:w="54" w:type="dxa"/>
              <w:right w:w="54" w:type="dxa"/>
            </w:tcMar>
          </w:tcPr>
          <w:p w14:paraId="5E7B4FAB">
            <w:pPr>
              <w:pStyle w:val="3"/>
            </w:pPr>
            <w:r>
              <w:rPr>
                <w:rFonts w:eastAsia="Arial Unicode MS" w:cs="Arial Unicode MS"/>
              </w:rPr>
              <w:t>Staff willingness to adapt to reforms; institutional support for continuous learning.</w:t>
            </w:r>
          </w:p>
        </w:tc>
      </w:tr>
      <w:tr w14:paraId="464BB39F">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49" w:hRule="atLeast"/>
        </w:trPr>
        <w:tc>
          <w:tcPr>
            <w:tcW w:w="1937" w:type="dxa"/>
            <w:tcBorders>
              <w:top w:val="dotted" w:color="919191" w:sz="6" w:space="0"/>
              <w:left w:val="nil"/>
              <w:bottom w:val="dotted" w:color="919191" w:sz="6" w:space="0"/>
              <w:right w:val="single" w:color="919191" w:sz="2" w:space="0"/>
            </w:tcBorders>
            <w:shd w:val="clear" w:color="auto" w:fill="E1E1E1"/>
            <w:tcMar>
              <w:top w:w="54" w:type="dxa"/>
              <w:left w:w="54" w:type="dxa"/>
              <w:bottom w:w="54" w:type="dxa"/>
              <w:right w:w="54" w:type="dxa"/>
            </w:tcMar>
          </w:tcPr>
          <w:p w14:paraId="58F7B782">
            <w:pPr>
              <w:pStyle w:val="3"/>
            </w:pPr>
            <w:r>
              <w:rPr>
                <w:rFonts w:eastAsia="Arial Unicode MS" w:cs="Arial Unicode MS"/>
              </w:rPr>
              <w:t>Output</w:t>
            </w:r>
          </w:p>
        </w:tc>
        <w:tc>
          <w:tcPr>
            <w:tcW w:w="3336" w:type="dxa"/>
            <w:tcBorders>
              <w:top w:val="dotted" w:color="919191" w:sz="6" w:space="0"/>
              <w:left w:val="single" w:color="919191" w:sz="2" w:space="0"/>
              <w:bottom w:val="dotted" w:color="919191" w:sz="6" w:space="0"/>
              <w:right w:val="single" w:color="919191" w:sz="2" w:space="0"/>
            </w:tcBorders>
            <w:shd w:val="clear" w:color="auto" w:fill="EEEEEE"/>
            <w:tcMar>
              <w:top w:w="80" w:type="dxa"/>
              <w:left w:w="80" w:type="dxa"/>
              <w:bottom w:w="80" w:type="dxa"/>
              <w:right w:w="80" w:type="dxa"/>
            </w:tcMar>
          </w:tcPr>
          <w:p w14:paraId="3247ED83"/>
        </w:tc>
        <w:tc>
          <w:tcPr>
            <w:tcW w:w="2412" w:type="dxa"/>
            <w:tcBorders>
              <w:top w:val="dotted" w:color="919191" w:sz="6" w:space="0"/>
              <w:left w:val="single" w:color="919191" w:sz="2" w:space="0"/>
              <w:bottom w:val="dotted" w:color="919191" w:sz="6" w:space="0"/>
              <w:right w:val="single" w:color="919191" w:sz="2" w:space="0"/>
            </w:tcBorders>
            <w:shd w:val="clear" w:color="auto" w:fill="EEEEEE"/>
            <w:tcMar>
              <w:top w:w="80" w:type="dxa"/>
              <w:left w:w="80" w:type="dxa"/>
              <w:bottom w:w="80" w:type="dxa"/>
              <w:right w:w="80" w:type="dxa"/>
            </w:tcMar>
          </w:tcPr>
          <w:p w14:paraId="0C6F9B07"/>
        </w:tc>
        <w:tc>
          <w:tcPr>
            <w:tcW w:w="1673" w:type="dxa"/>
            <w:tcBorders>
              <w:top w:val="dotted" w:color="919191" w:sz="6" w:space="0"/>
              <w:left w:val="single" w:color="919191" w:sz="2" w:space="0"/>
              <w:bottom w:val="dotted" w:color="919191" w:sz="6" w:space="0"/>
              <w:right w:val="nil"/>
            </w:tcBorders>
            <w:shd w:val="clear" w:color="auto" w:fill="EEEEEE"/>
            <w:tcMar>
              <w:top w:w="80" w:type="dxa"/>
              <w:left w:w="80" w:type="dxa"/>
              <w:bottom w:w="80" w:type="dxa"/>
              <w:right w:w="80" w:type="dxa"/>
            </w:tcMar>
          </w:tcPr>
          <w:p w14:paraId="309B0641"/>
        </w:tc>
      </w:tr>
      <w:tr w14:paraId="5893F428">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084" w:hRule="atLeast"/>
        </w:trPr>
        <w:tc>
          <w:tcPr>
            <w:tcW w:w="1937" w:type="dxa"/>
            <w:tcBorders>
              <w:top w:val="dotted" w:color="919191" w:sz="6" w:space="0"/>
              <w:left w:val="nil"/>
              <w:bottom w:val="dotted" w:color="919191" w:sz="6" w:space="0"/>
              <w:right w:val="single" w:color="919191" w:sz="2" w:space="0"/>
            </w:tcBorders>
            <w:tcMar>
              <w:top w:w="54" w:type="dxa"/>
              <w:left w:w="54" w:type="dxa"/>
              <w:bottom w:w="54" w:type="dxa"/>
              <w:right w:w="54" w:type="dxa"/>
            </w:tcMar>
          </w:tcPr>
          <w:p w14:paraId="6136A397">
            <w:pPr>
              <w:pStyle w:val="3"/>
            </w:pPr>
            <w:r>
              <w:rPr>
                <w:rFonts w:eastAsia="Arial Unicode MS" w:cs="Arial Unicode MS"/>
              </w:rPr>
              <w:t>2.4 Diversified revenue streams</w:t>
            </w:r>
          </w:p>
        </w:tc>
        <w:tc>
          <w:tcPr>
            <w:tcW w:w="3336"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082EC6FA">
            <w:pPr>
              <w:pStyle w:val="3"/>
              <w:ind w:left="720"/>
            </w:pPr>
            <w:r>
              <w:rPr>
                <w:rFonts w:eastAsia="Arial Unicode MS" w:cs="Arial Unicode MS"/>
                <w:lang w:val="en-US"/>
              </w:rPr>
              <w:t>Amount of money received from private investors</w:t>
            </w:r>
          </w:p>
          <w:p w14:paraId="0594269C">
            <w:pPr>
              <w:pStyle w:val="3"/>
              <w:ind w:left="720"/>
            </w:pPr>
            <w:r>
              <w:rPr>
                <w:rFonts w:eastAsia="Arial Unicode MS" w:cs="Arial Unicode MS"/>
                <w:lang w:val="en-US"/>
              </w:rPr>
              <w:t>Endowments, alumni contributions, consultancy services).</w:t>
            </w:r>
          </w:p>
          <w:p w14:paraId="1F99F495">
            <w:pPr>
              <w:pStyle w:val="3"/>
              <w:ind w:left="720"/>
            </w:pPr>
            <w:r>
              <w:rPr>
                <w:rFonts w:eastAsia="Arial Unicode MS" w:cs="Arial Unicode MS"/>
                <w:lang w:val="en-US"/>
              </w:rPr>
              <w:t>Number of new revenue sources</w:t>
            </w:r>
          </w:p>
          <w:p w14:paraId="7048BDA9">
            <w:pPr>
              <w:pStyle w:val="3"/>
              <w:ind w:left="720"/>
            </w:pPr>
            <w:r>
              <w:rPr>
                <w:rFonts w:eastAsia="Arial Unicode MS" w:cs="Arial Unicode MS"/>
                <w:lang w:val="en-US"/>
              </w:rPr>
              <w:t>percentage contribution of non-government funding.</w:t>
            </w:r>
          </w:p>
        </w:tc>
        <w:tc>
          <w:tcPr>
            <w:tcW w:w="2412"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31A0EBD0">
            <w:pPr>
              <w:pStyle w:val="3"/>
              <w:ind w:left="720"/>
            </w:pPr>
            <w:r>
              <w:rPr>
                <w:rFonts w:eastAsia="Arial Unicode MS" w:cs="Arial Unicode MS"/>
                <w:lang w:val="en-US"/>
              </w:rPr>
              <w:t>Financial statements</w:t>
            </w:r>
          </w:p>
          <w:p w14:paraId="0583684D">
            <w:pPr>
              <w:pStyle w:val="3"/>
              <w:ind w:left="720"/>
            </w:pPr>
            <w:r>
              <w:rPr>
                <w:rFonts w:eastAsia="Arial Unicode MS" w:cs="Arial Unicode MS"/>
                <w:lang w:val="en-US"/>
              </w:rPr>
              <w:t>Partnership agreements,</w:t>
            </w:r>
          </w:p>
          <w:p w14:paraId="1D450E5E">
            <w:pPr>
              <w:pStyle w:val="3"/>
              <w:ind w:left="720"/>
            </w:pPr>
            <w:r>
              <w:rPr>
                <w:rFonts w:eastAsia="Arial Unicode MS" w:cs="Arial Unicode MS"/>
                <w:lang w:val="en-US"/>
              </w:rPr>
              <w:t>Fundraising reports.</w:t>
            </w:r>
          </w:p>
        </w:tc>
        <w:tc>
          <w:tcPr>
            <w:tcW w:w="1673" w:type="dxa"/>
            <w:tcBorders>
              <w:top w:val="dotted" w:color="919191" w:sz="6" w:space="0"/>
              <w:left w:val="single" w:color="919191" w:sz="2" w:space="0"/>
              <w:bottom w:val="dotted" w:color="919191" w:sz="6" w:space="0"/>
              <w:right w:val="nil"/>
            </w:tcBorders>
            <w:tcMar>
              <w:top w:w="54" w:type="dxa"/>
              <w:left w:w="54" w:type="dxa"/>
              <w:bottom w:w="54" w:type="dxa"/>
              <w:right w:w="54" w:type="dxa"/>
            </w:tcMar>
          </w:tcPr>
          <w:p w14:paraId="7D44EF0E">
            <w:pPr>
              <w:pStyle w:val="3"/>
            </w:pPr>
            <w:r>
              <w:rPr>
                <w:rFonts w:eastAsia="Arial Unicode MS" w:cs="Arial Unicode MS"/>
              </w:rPr>
              <w:t>Strong private sector interest and supportive policy environment.</w:t>
            </w:r>
          </w:p>
        </w:tc>
      </w:tr>
      <w:tr w14:paraId="38360BB1">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003" w:hRule="atLeast"/>
        </w:trPr>
        <w:tc>
          <w:tcPr>
            <w:tcW w:w="1937" w:type="dxa"/>
            <w:tcBorders>
              <w:top w:val="dotted" w:color="919191" w:sz="6" w:space="0"/>
              <w:left w:val="nil"/>
              <w:bottom w:val="dotted" w:color="919191" w:sz="6" w:space="0"/>
              <w:right w:val="single" w:color="919191" w:sz="2" w:space="0"/>
            </w:tcBorders>
            <w:shd w:val="clear" w:color="auto" w:fill="EEEEEE"/>
            <w:tcMar>
              <w:top w:w="54" w:type="dxa"/>
              <w:left w:w="54" w:type="dxa"/>
              <w:bottom w:w="54" w:type="dxa"/>
              <w:right w:w="54" w:type="dxa"/>
            </w:tcMar>
          </w:tcPr>
          <w:p w14:paraId="3F0A76FA">
            <w:pPr>
              <w:pStyle w:val="3"/>
            </w:pPr>
            <w:r>
              <w:rPr>
                <w:rFonts w:eastAsia="Arial Unicode MS" w:cs="Arial Unicode MS"/>
              </w:rPr>
              <w:t>2.5 Cost-saving measures</w:t>
            </w:r>
          </w:p>
        </w:tc>
        <w:tc>
          <w:tcPr>
            <w:tcW w:w="3336"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0F832380">
            <w:pPr>
              <w:pStyle w:val="3"/>
              <w:numPr>
                <w:ilvl w:val="1"/>
                <w:numId w:val="101"/>
              </w:numPr>
            </w:pPr>
            <w:r>
              <w:rPr>
                <w:rFonts w:eastAsia="Arial Unicode MS" w:cs="Arial Unicode MS"/>
                <w:lang w:val="en-US"/>
              </w:rPr>
              <w:t xml:space="preserve">% reduction in operational costs, </w:t>
            </w:r>
          </w:p>
          <w:p w14:paraId="34F58E56">
            <w:pPr>
              <w:pStyle w:val="3"/>
              <w:numPr>
                <w:ilvl w:val="1"/>
                <w:numId w:val="101"/>
              </w:numPr>
            </w:pPr>
            <w:r>
              <w:rPr>
                <w:rFonts w:eastAsia="Arial Unicode MS" w:cs="Arial Unicode MS"/>
                <w:lang w:val="en-US"/>
              </w:rPr>
              <w:t>savings achieved.</w:t>
            </w:r>
          </w:p>
        </w:tc>
        <w:tc>
          <w:tcPr>
            <w:tcW w:w="2412"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4B6252DB">
            <w:pPr>
              <w:pStyle w:val="3"/>
            </w:pPr>
            <w:r>
              <w:rPr>
                <w:rFonts w:eastAsia="Arial Unicode MS" w:cs="Arial Unicode MS"/>
              </w:rPr>
              <w:t>Financial reports, cost-benefit analyses.</w:t>
            </w:r>
          </w:p>
        </w:tc>
        <w:tc>
          <w:tcPr>
            <w:tcW w:w="1673"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54" w:type="dxa"/>
            </w:tcMar>
          </w:tcPr>
          <w:p w14:paraId="16117EB1">
            <w:pPr>
              <w:pStyle w:val="3"/>
            </w:pPr>
            <w:r>
              <w:rPr>
                <w:rFonts w:eastAsia="Arial Unicode MS" w:cs="Arial Unicode MS"/>
              </w:rPr>
              <w:t>Institutional commitment to cost reduction.</w:t>
            </w:r>
          </w:p>
        </w:tc>
      </w:tr>
      <w:tr w14:paraId="71310B3C">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863" w:hRule="atLeast"/>
        </w:trPr>
        <w:tc>
          <w:tcPr>
            <w:tcW w:w="1937" w:type="dxa"/>
            <w:tcBorders>
              <w:top w:val="dotted" w:color="919191" w:sz="6" w:space="0"/>
              <w:left w:val="nil"/>
              <w:bottom w:val="dotted" w:color="919191" w:sz="6" w:space="0"/>
              <w:right w:val="single" w:color="919191" w:sz="2" w:space="0"/>
            </w:tcBorders>
            <w:tcMar>
              <w:top w:w="54" w:type="dxa"/>
              <w:left w:w="54" w:type="dxa"/>
              <w:bottom w:w="54" w:type="dxa"/>
              <w:right w:w="54" w:type="dxa"/>
            </w:tcMar>
          </w:tcPr>
          <w:p w14:paraId="0C6B5268">
            <w:pPr>
              <w:pStyle w:val="3"/>
            </w:pPr>
            <w:r>
              <w:rPr>
                <w:rFonts w:eastAsia="Arial Unicode MS" w:cs="Arial Unicode MS"/>
              </w:rPr>
              <w:t>2.6 Transparent financial management systems</w:t>
            </w:r>
          </w:p>
        </w:tc>
        <w:tc>
          <w:tcPr>
            <w:tcW w:w="3336"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0C450FBD">
            <w:pPr>
              <w:pStyle w:val="3"/>
              <w:numPr>
                <w:ilvl w:val="1"/>
                <w:numId w:val="102"/>
              </w:numPr>
            </w:pPr>
            <w:r>
              <w:rPr>
                <w:rFonts w:eastAsia="Arial Unicode MS" w:cs="Arial Unicode MS"/>
                <w:lang w:val="en-US"/>
              </w:rPr>
              <w:t>Number of  modern accounting Enterprise Resource Planning (ERP) systems.</w:t>
            </w:r>
          </w:p>
          <w:p w14:paraId="507982BA">
            <w:pPr>
              <w:pStyle w:val="3"/>
              <w:numPr>
                <w:ilvl w:val="1"/>
                <w:numId w:val="102"/>
              </w:numPr>
            </w:pPr>
            <w:r>
              <w:rPr>
                <w:rFonts w:eastAsia="Arial Unicode MS" w:cs="Arial Unicode MS"/>
                <w:lang w:val="en-US"/>
              </w:rPr>
              <w:t>: number of staff trained, timely audits, compliance with financial regulations.</w:t>
            </w:r>
          </w:p>
        </w:tc>
        <w:tc>
          <w:tcPr>
            <w:tcW w:w="2412"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6098F4D5">
            <w:pPr>
              <w:pStyle w:val="3"/>
            </w:pPr>
            <w:r>
              <w:rPr>
                <w:rFonts w:eastAsia="Arial Unicode MS" w:cs="Arial Unicode MS"/>
              </w:rPr>
              <w:t>Audit reports, system logs, compliance certificates.</w:t>
            </w:r>
          </w:p>
        </w:tc>
        <w:tc>
          <w:tcPr>
            <w:tcW w:w="1673" w:type="dxa"/>
            <w:tcBorders>
              <w:top w:val="dotted" w:color="919191" w:sz="6" w:space="0"/>
              <w:left w:val="single" w:color="919191" w:sz="2" w:space="0"/>
              <w:bottom w:val="dotted" w:color="919191" w:sz="6" w:space="0"/>
              <w:right w:val="nil"/>
            </w:tcBorders>
            <w:tcMar>
              <w:top w:w="54" w:type="dxa"/>
              <w:left w:w="54" w:type="dxa"/>
              <w:bottom w:w="54" w:type="dxa"/>
              <w:right w:w="54" w:type="dxa"/>
            </w:tcMar>
          </w:tcPr>
          <w:p w14:paraId="66F5725B">
            <w:pPr>
              <w:pStyle w:val="3"/>
            </w:pPr>
            <w:r>
              <w:rPr>
                <w:rFonts w:eastAsia="Arial Unicode MS" w:cs="Arial Unicode MS"/>
              </w:rPr>
              <w:t>Availability of skilled finance staff and leadership support.</w:t>
            </w:r>
          </w:p>
        </w:tc>
      </w:tr>
      <w:tr w14:paraId="7C35361B">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430" w:hRule="atLeast"/>
        </w:trPr>
        <w:tc>
          <w:tcPr>
            <w:tcW w:w="1937" w:type="dxa"/>
            <w:tcBorders>
              <w:top w:val="dotted" w:color="919191" w:sz="6" w:space="0"/>
              <w:left w:val="nil"/>
              <w:bottom w:val="nil"/>
              <w:right w:val="single" w:color="919191" w:sz="2" w:space="0"/>
            </w:tcBorders>
            <w:shd w:val="clear" w:color="auto" w:fill="EEEEEE"/>
            <w:tcMar>
              <w:top w:w="54" w:type="dxa"/>
              <w:left w:w="54" w:type="dxa"/>
              <w:bottom w:w="54" w:type="dxa"/>
              <w:right w:w="54" w:type="dxa"/>
            </w:tcMar>
          </w:tcPr>
          <w:p w14:paraId="0188F882">
            <w:pPr>
              <w:pStyle w:val="3"/>
            </w:pPr>
            <w:r>
              <w:rPr>
                <w:rFonts w:eastAsia="Arial Unicode MS" w:cs="Arial Unicode MS"/>
              </w:rPr>
              <w:t>2.7 Capacity building in financial management</w:t>
            </w:r>
          </w:p>
        </w:tc>
        <w:tc>
          <w:tcPr>
            <w:tcW w:w="3336" w:type="dxa"/>
            <w:tcBorders>
              <w:top w:val="dotted" w:color="919191" w:sz="6" w:space="0"/>
              <w:left w:val="single" w:color="919191" w:sz="2" w:space="0"/>
              <w:bottom w:val="nil"/>
              <w:right w:val="single" w:color="919191" w:sz="2" w:space="0"/>
            </w:tcBorders>
            <w:shd w:val="clear" w:color="auto" w:fill="EEEEEE"/>
            <w:tcMar>
              <w:top w:w="54" w:type="dxa"/>
              <w:left w:w="54" w:type="dxa"/>
              <w:bottom w:w="54" w:type="dxa"/>
              <w:right w:w="54" w:type="dxa"/>
            </w:tcMar>
          </w:tcPr>
          <w:p w14:paraId="7EB24281">
            <w:pPr>
              <w:pStyle w:val="3"/>
              <w:numPr>
                <w:ilvl w:val="1"/>
                <w:numId w:val="103"/>
              </w:numPr>
            </w:pPr>
            <w:r>
              <w:rPr>
                <w:rFonts w:eastAsia="Arial Unicode MS" w:cs="Arial Unicode MS"/>
                <w:lang w:val="en-US"/>
              </w:rPr>
              <w:t>Training for staff on financial accountability,</w:t>
            </w:r>
          </w:p>
          <w:p w14:paraId="17AE404F">
            <w:pPr>
              <w:pStyle w:val="3"/>
              <w:numPr>
                <w:ilvl w:val="1"/>
                <w:numId w:val="103"/>
              </w:numPr>
            </w:pPr>
            <w:r>
              <w:rPr>
                <w:rFonts w:eastAsia="Arial Unicode MS" w:cs="Arial Unicode MS"/>
                <w:lang w:val="en-US"/>
              </w:rPr>
              <w:t>Investment strategies, and management.: number of staff trained, improvements in financial reporting quality.</w:t>
            </w:r>
          </w:p>
        </w:tc>
        <w:tc>
          <w:tcPr>
            <w:tcW w:w="2412" w:type="dxa"/>
            <w:tcBorders>
              <w:top w:val="dotted" w:color="919191" w:sz="6" w:space="0"/>
              <w:left w:val="single" w:color="919191" w:sz="2" w:space="0"/>
              <w:bottom w:val="nil"/>
              <w:right w:val="single" w:color="919191" w:sz="2" w:space="0"/>
            </w:tcBorders>
            <w:shd w:val="clear" w:color="auto" w:fill="EEEEEE"/>
            <w:tcMar>
              <w:top w:w="54" w:type="dxa"/>
              <w:left w:w="54" w:type="dxa"/>
              <w:bottom w:w="54" w:type="dxa"/>
              <w:right w:w="54" w:type="dxa"/>
            </w:tcMar>
          </w:tcPr>
          <w:p w14:paraId="12E5D5DE">
            <w:pPr>
              <w:pStyle w:val="3"/>
            </w:pPr>
            <w:r>
              <w:rPr>
                <w:rFonts w:eastAsia="Arial Unicode MS" w:cs="Arial Unicode MS"/>
              </w:rPr>
              <w:t>Training attendance records</w:t>
            </w:r>
          </w:p>
          <w:p w14:paraId="164A5DD9">
            <w:pPr>
              <w:pStyle w:val="3"/>
            </w:pPr>
            <w:r>
              <w:rPr>
                <w:rFonts w:eastAsia="Arial Unicode MS" w:cs="Arial Unicode MS"/>
              </w:rPr>
              <w:t>post-training evaluations, financial reports.</w:t>
            </w:r>
          </w:p>
        </w:tc>
        <w:tc>
          <w:tcPr>
            <w:tcW w:w="1673" w:type="dxa"/>
            <w:tcBorders>
              <w:top w:val="dotted" w:color="919191" w:sz="6" w:space="0"/>
              <w:left w:val="single" w:color="919191" w:sz="2" w:space="0"/>
              <w:bottom w:val="nil"/>
              <w:right w:val="nil"/>
            </w:tcBorders>
            <w:shd w:val="clear" w:color="auto" w:fill="EEEEEE"/>
            <w:tcMar>
              <w:top w:w="54" w:type="dxa"/>
              <w:left w:w="54" w:type="dxa"/>
              <w:bottom w:w="54" w:type="dxa"/>
              <w:right w:w="54" w:type="dxa"/>
            </w:tcMar>
          </w:tcPr>
          <w:p w14:paraId="3DFF0A26">
            <w:pPr>
              <w:pStyle w:val="3"/>
            </w:pPr>
            <w:r>
              <w:rPr>
                <w:rFonts w:eastAsia="Arial Unicode MS" w:cs="Arial Unicode MS"/>
              </w:rPr>
              <w:t>Staff willingness</w:t>
            </w:r>
          </w:p>
        </w:tc>
      </w:tr>
    </w:tbl>
    <w:p w14:paraId="2069B600">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b/>
          <w:bCs/>
          <w:sz w:val="24"/>
          <w:szCs w:val="24"/>
        </w:rPr>
      </w:pPr>
    </w:p>
    <w:p w14:paraId="1277F226">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b/>
          <w:bCs/>
          <w:sz w:val="24"/>
          <w:szCs w:val="24"/>
        </w:rPr>
      </w:pPr>
    </w:p>
    <w:p w14:paraId="1E914E9C">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b/>
          <w:bCs/>
          <w:sz w:val="24"/>
          <w:szCs w:val="24"/>
        </w:rPr>
      </w:pPr>
    </w:p>
    <w:p w14:paraId="47816FFE">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b/>
          <w:bCs/>
          <w:sz w:val="24"/>
          <w:szCs w:val="24"/>
        </w:rPr>
      </w:pPr>
    </w:p>
    <w:p w14:paraId="4BB23B64">
      <w:pPr>
        <w:pStyle w:val="3"/>
        <w:rPr>
          <w:rFonts w:ascii="Helvetica Neue" w:hAnsi="Helvetica Neue" w:eastAsia="Helvetica Neue" w:cs="Helvetica Neue"/>
          <w:b/>
          <w:bCs/>
          <w:sz w:val="24"/>
          <w:szCs w:val="24"/>
        </w:rPr>
      </w:pPr>
      <w:r>
        <w:rPr>
          <w:rFonts w:ascii="Helvetica Neue" w:hAnsi="Helvetica Neue"/>
          <w:b/>
          <w:bCs/>
          <w:sz w:val="24"/>
          <w:szCs w:val="24"/>
          <w:lang w:val="en-US"/>
        </w:rPr>
        <w:t>Strategic Objective 3: Enhance Service Quality and Delivery Excellence</w:t>
      </w:r>
    </w:p>
    <w:p w14:paraId="0F9D362F">
      <w:pPr>
        <w:pStyle w:val="3"/>
        <w:rPr>
          <w:sz w:val="24"/>
          <w:szCs w:val="24"/>
        </w:rPr>
      </w:pPr>
      <w:r>
        <w:rPr>
          <w:sz w:val="24"/>
          <w:szCs w:val="24"/>
          <w:lang w:val="en-US"/>
        </w:rPr>
        <w:t>The following indicators in Table 3 are targeted towards enhancing service quality and delivery excellence.</w:t>
      </w:r>
    </w:p>
    <w:p w14:paraId="1D346E29">
      <w:pPr>
        <w:pStyle w:val="3"/>
        <w:rPr>
          <w:rFonts w:ascii="Helvetica Neue" w:hAnsi="Helvetica Neue" w:eastAsia="Helvetica Neue" w:cs="Helvetica Neue"/>
          <w:b/>
          <w:bCs/>
          <w:sz w:val="24"/>
          <w:szCs w:val="24"/>
        </w:rPr>
      </w:pPr>
      <w:r>
        <w:rPr>
          <w:rFonts w:ascii="Helvetica Neue" w:hAnsi="Helvetica Neue"/>
          <w:b/>
          <w:bCs/>
          <w:sz w:val="24"/>
          <w:szCs w:val="24"/>
          <w:lang w:val="en-US"/>
        </w:rPr>
        <w:t>Table 3: Logical Framework for Strategic Objective 3</w:t>
      </w:r>
    </w:p>
    <w:tbl>
      <w:tblPr>
        <w:tblStyle w:val="6"/>
        <w:tblW w:w="9360" w:type="dxa"/>
        <w:tblInd w:w="108" w:type="dxa"/>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Layout w:type="fixed"/>
        <w:tblCellMar>
          <w:top w:w="0" w:type="dxa"/>
          <w:left w:w="108" w:type="dxa"/>
          <w:bottom w:w="0" w:type="dxa"/>
          <w:right w:w="108" w:type="dxa"/>
        </w:tblCellMar>
      </w:tblPr>
      <w:tblGrid>
        <w:gridCol w:w="2343"/>
        <w:gridCol w:w="3065"/>
        <w:gridCol w:w="1726"/>
        <w:gridCol w:w="2226"/>
      </w:tblGrid>
      <w:tr w14:paraId="05857A6E">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529" w:hRule="atLeast"/>
        </w:trPr>
        <w:tc>
          <w:tcPr>
            <w:tcW w:w="2342" w:type="dxa"/>
            <w:tcBorders>
              <w:top w:val="nil"/>
              <w:left w:val="nil"/>
              <w:bottom w:val="dotted" w:color="919191" w:sz="6" w:space="0"/>
              <w:right w:val="single" w:color="919191" w:sz="2" w:space="0"/>
            </w:tcBorders>
            <w:shd w:val="clear" w:color="auto" w:fill="E1E1E1"/>
            <w:tcMar>
              <w:top w:w="54" w:type="dxa"/>
              <w:left w:w="54" w:type="dxa"/>
              <w:bottom w:w="54" w:type="dxa"/>
              <w:right w:w="54" w:type="dxa"/>
            </w:tcMar>
          </w:tcPr>
          <w:p w14:paraId="7F72E080"/>
        </w:tc>
        <w:tc>
          <w:tcPr>
            <w:tcW w:w="3064" w:type="dxa"/>
            <w:tcBorders>
              <w:top w:val="nil"/>
              <w:left w:val="single" w:color="919191" w:sz="2" w:space="0"/>
              <w:bottom w:val="dotted" w:color="919191" w:sz="6" w:space="0"/>
              <w:right w:val="single" w:color="919191" w:sz="2" w:space="0"/>
            </w:tcBorders>
            <w:shd w:val="clear" w:color="auto" w:fill="E1E1E1"/>
            <w:tcMar>
              <w:top w:w="54" w:type="dxa"/>
              <w:left w:w="54" w:type="dxa"/>
              <w:bottom w:w="54" w:type="dxa"/>
              <w:right w:w="54" w:type="dxa"/>
            </w:tcMar>
          </w:tcPr>
          <w:p w14:paraId="751B84E2">
            <w:pPr>
              <w:pStyle w:val="3"/>
            </w:pPr>
            <w:r>
              <w:rPr>
                <w:rFonts w:eastAsia="Arial Unicode MS" w:cs="Arial Unicode MS"/>
              </w:rPr>
              <w:t>Indicators and Metrics</w:t>
            </w:r>
          </w:p>
        </w:tc>
        <w:tc>
          <w:tcPr>
            <w:tcW w:w="1726" w:type="dxa"/>
            <w:tcBorders>
              <w:top w:val="nil"/>
              <w:left w:val="single" w:color="919191" w:sz="2" w:space="0"/>
              <w:bottom w:val="dotted" w:color="919191" w:sz="6" w:space="0"/>
              <w:right w:val="single" w:color="919191" w:sz="2" w:space="0"/>
            </w:tcBorders>
            <w:shd w:val="clear" w:color="auto" w:fill="E1E1E1"/>
            <w:tcMar>
              <w:top w:w="54" w:type="dxa"/>
              <w:left w:w="54" w:type="dxa"/>
              <w:bottom w:w="54" w:type="dxa"/>
              <w:right w:w="54" w:type="dxa"/>
            </w:tcMar>
          </w:tcPr>
          <w:p w14:paraId="3BC5D201">
            <w:pPr>
              <w:pStyle w:val="3"/>
            </w:pPr>
            <w:r>
              <w:rPr>
                <w:rFonts w:eastAsia="Arial Unicode MS" w:cs="Arial Unicode MS"/>
              </w:rPr>
              <w:t>Means of Verification</w:t>
            </w:r>
          </w:p>
        </w:tc>
        <w:tc>
          <w:tcPr>
            <w:tcW w:w="2226" w:type="dxa"/>
            <w:tcBorders>
              <w:top w:val="nil"/>
              <w:left w:val="single" w:color="919191" w:sz="2" w:space="0"/>
              <w:bottom w:val="dotted" w:color="919191" w:sz="6" w:space="0"/>
              <w:right w:val="nil"/>
            </w:tcBorders>
            <w:shd w:val="clear" w:color="auto" w:fill="E1E1E1"/>
            <w:tcMar>
              <w:top w:w="54" w:type="dxa"/>
              <w:left w:w="54" w:type="dxa"/>
              <w:bottom w:w="54" w:type="dxa"/>
              <w:right w:w="54" w:type="dxa"/>
            </w:tcMar>
          </w:tcPr>
          <w:p w14:paraId="2F164C9A">
            <w:pPr>
              <w:pStyle w:val="3"/>
            </w:pPr>
            <w:r>
              <w:rPr>
                <w:rFonts w:eastAsia="Arial Unicode MS" w:cs="Arial Unicode MS"/>
              </w:rPr>
              <w:t>Assumptions for the Objective</w:t>
            </w:r>
          </w:p>
        </w:tc>
      </w:tr>
      <w:tr w14:paraId="40E68C44">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49" w:hRule="atLeast"/>
        </w:trPr>
        <w:tc>
          <w:tcPr>
            <w:tcW w:w="2342" w:type="dxa"/>
            <w:tcBorders>
              <w:top w:val="dotted" w:color="919191" w:sz="6" w:space="0"/>
              <w:left w:val="nil"/>
              <w:bottom w:val="dotted" w:color="919191" w:sz="6" w:space="0"/>
              <w:right w:val="single" w:color="919191" w:sz="2" w:space="0"/>
            </w:tcBorders>
            <w:shd w:val="clear" w:color="auto" w:fill="E1E1E1"/>
            <w:tcMar>
              <w:top w:w="54" w:type="dxa"/>
              <w:left w:w="54" w:type="dxa"/>
              <w:bottom w:w="54" w:type="dxa"/>
              <w:right w:w="54" w:type="dxa"/>
            </w:tcMar>
          </w:tcPr>
          <w:p w14:paraId="6CB67033">
            <w:pPr>
              <w:pStyle w:val="3"/>
            </w:pPr>
            <w:r>
              <w:rPr>
                <w:rFonts w:eastAsia="Arial Unicode MS" w:cs="Arial Unicode MS"/>
              </w:rPr>
              <w:t>Outcome</w:t>
            </w:r>
          </w:p>
        </w:tc>
        <w:tc>
          <w:tcPr>
            <w:tcW w:w="3064" w:type="dxa"/>
            <w:tcBorders>
              <w:top w:val="dotted" w:color="919191" w:sz="6" w:space="0"/>
              <w:left w:val="single" w:color="919191" w:sz="2" w:space="0"/>
              <w:bottom w:val="dotted" w:color="919191" w:sz="6" w:space="0"/>
              <w:right w:val="single" w:color="919191" w:sz="2" w:space="0"/>
            </w:tcBorders>
            <w:shd w:val="clear" w:color="auto" w:fill="EEEEEE"/>
            <w:tcMar>
              <w:top w:w="80" w:type="dxa"/>
              <w:left w:w="80" w:type="dxa"/>
              <w:bottom w:w="80" w:type="dxa"/>
              <w:right w:w="80" w:type="dxa"/>
            </w:tcMar>
          </w:tcPr>
          <w:p w14:paraId="2DFB551B"/>
        </w:tc>
        <w:tc>
          <w:tcPr>
            <w:tcW w:w="1726" w:type="dxa"/>
            <w:tcBorders>
              <w:top w:val="dotted" w:color="919191" w:sz="6" w:space="0"/>
              <w:left w:val="single" w:color="919191" w:sz="2" w:space="0"/>
              <w:bottom w:val="dotted" w:color="919191" w:sz="6" w:space="0"/>
              <w:right w:val="single" w:color="919191" w:sz="2" w:space="0"/>
            </w:tcBorders>
            <w:shd w:val="clear" w:color="auto" w:fill="EEEEEE"/>
            <w:tcMar>
              <w:top w:w="80" w:type="dxa"/>
              <w:left w:w="80" w:type="dxa"/>
              <w:bottom w:w="80" w:type="dxa"/>
              <w:right w:w="80" w:type="dxa"/>
            </w:tcMar>
          </w:tcPr>
          <w:p w14:paraId="1DFCBAF6"/>
        </w:tc>
        <w:tc>
          <w:tcPr>
            <w:tcW w:w="2226" w:type="dxa"/>
            <w:tcBorders>
              <w:top w:val="dotted" w:color="919191" w:sz="6" w:space="0"/>
              <w:left w:val="single" w:color="919191" w:sz="2" w:space="0"/>
              <w:bottom w:val="dotted" w:color="919191" w:sz="6" w:space="0"/>
              <w:right w:val="nil"/>
            </w:tcBorders>
            <w:shd w:val="clear" w:color="auto" w:fill="EEEEEE"/>
            <w:tcMar>
              <w:top w:w="80" w:type="dxa"/>
              <w:left w:w="80" w:type="dxa"/>
              <w:bottom w:w="80" w:type="dxa"/>
              <w:right w:w="80" w:type="dxa"/>
            </w:tcMar>
          </w:tcPr>
          <w:p w14:paraId="039D3428"/>
        </w:tc>
      </w:tr>
      <w:tr w14:paraId="7C6C5304">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691" w:hRule="atLeast"/>
        </w:trPr>
        <w:tc>
          <w:tcPr>
            <w:tcW w:w="2342" w:type="dxa"/>
            <w:tcBorders>
              <w:top w:val="dotted" w:color="919191" w:sz="6" w:space="0"/>
              <w:left w:val="nil"/>
              <w:bottom w:val="dotted" w:color="919191" w:sz="6" w:space="0"/>
              <w:right w:val="single" w:color="919191" w:sz="2" w:space="0"/>
            </w:tcBorders>
            <w:tcMar>
              <w:top w:w="54" w:type="dxa"/>
              <w:left w:w="54" w:type="dxa"/>
              <w:bottom w:w="54" w:type="dxa"/>
              <w:right w:w="54" w:type="dxa"/>
            </w:tcMar>
          </w:tcPr>
          <w:p w14:paraId="679FED35">
            <w:pPr>
              <w:pStyle w:val="3"/>
            </w:pPr>
            <w:r>
              <w:rPr>
                <w:rFonts w:eastAsia="Arial Unicode MS" w:cs="Arial Unicode MS"/>
              </w:rPr>
              <w:t>3.1 Service quality and efficiency</w:t>
            </w:r>
          </w:p>
        </w:tc>
        <w:tc>
          <w:tcPr>
            <w:tcW w:w="3064"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7D5C08A8">
            <w:pPr>
              <w:pStyle w:val="3"/>
            </w:pPr>
            <w:r>
              <w:rPr>
                <w:rFonts w:eastAsia="Arial Unicode MS" w:cs="Arial Unicode MS"/>
              </w:rPr>
              <w:t>Faster maintenance response &amp; resolution mean time to acknowledge (MTTA)/mean time to repair/resolve (MTTR); percentage work orders closed on time; user satisfaction with facility services; percentage systems/equipment meeting or exceeding standards; reduction in energy consumption; unplanned downtime hours; Service level agreement (SLA) compliance percentage.</w:t>
            </w:r>
          </w:p>
        </w:tc>
        <w:tc>
          <w:tcPr>
            <w:tcW w:w="1726"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4EC4FF47">
            <w:pPr>
              <w:pStyle w:val="3"/>
            </w:pPr>
            <w:r>
              <w:rPr>
                <w:rFonts w:eastAsia="Arial Unicode MS" w:cs="Arial Unicode MS"/>
              </w:rPr>
              <w:t>Computerized Maintenance Management System (CMMS)/maintenance logs; service desk data; Quality assurance (QA)/audit reports; energy audits; SLA reports.</w:t>
            </w:r>
          </w:p>
        </w:tc>
        <w:tc>
          <w:tcPr>
            <w:tcW w:w="2226" w:type="dxa"/>
            <w:tcBorders>
              <w:top w:val="dotted" w:color="919191" w:sz="6" w:space="0"/>
              <w:left w:val="single" w:color="919191" w:sz="2" w:space="0"/>
              <w:bottom w:val="dotted" w:color="919191" w:sz="6" w:space="0"/>
              <w:right w:val="nil"/>
            </w:tcBorders>
            <w:tcMar>
              <w:top w:w="54" w:type="dxa"/>
              <w:left w:w="54" w:type="dxa"/>
              <w:bottom w:w="54" w:type="dxa"/>
              <w:right w:w="54" w:type="dxa"/>
            </w:tcMar>
          </w:tcPr>
          <w:p w14:paraId="7682365C">
            <w:pPr>
              <w:pStyle w:val="3"/>
            </w:pPr>
            <w:r>
              <w:rPr>
                <w:rFonts w:eastAsia="Arial Unicode MS" w:cs="Arial Unicode MS"/>
              </w:rPr>
              <w:t>Adequate staffing, spares, and vendor performance; culture of continuous improvement.</w:t>
            </w:r>
          </w:p>
        </w:tc>
      </w:tr>
      <w:tr w14:paraId="7603D50F">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970" w:hRule="atLeast"/>
        </w:trPr>
        <w:tc>
          <w:tcPr>
            <w:tcW w:w="2342" w:type="dxa"/>
            <w:tcBorders>
              <w:top w:val="dotted" w:color="919191" w:sz="6" w:space="0"/>
              <w:left w:val="nil"/>
              <w:bottom w:val="dotted" w:color="919191" w:sz="6" w:space="0"/>
              <w:right w:val="single" w:color="919191" w:sz="2" w:space="0"/>
            </w:tcBorders>
            <w:shd w:val="clear" w:color="auto" w:fill="EEEEEE"/>
            <w:tcMar>
              <w:top w:w="54" w:type="dxa"/>
              <w:left w:w="54" w:type="dxa"/>
              <w:bottom w:w="54" w:type="dxa"/>
              <w:right w:w="54" w:type="dxa"/>
            </w:tcMar>
          </w:tcPr>
          <w:p w14:paraId="62B9BA5C">
            <w:pPr>
              <w:pStyle w:val="3"/>
            </w:pPr>
            <w:r>
              <w:rPr>
                <w:rFonts w:eastAsia="Arial Unicode MS" w:cs="Arial Unicode MS"/>
              </w:rPr>
              <w:t>3.2 Data-driven performance management</w:t>
            </w:r>
          </w:p>
        </w:tc>
        <w:tc>
          <w:tcPr>
            <w:tcW w:w="3064"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0A2F49A5">
            <w:pPr>
              <w:pStyle w:val="3"/>
            </w:pPr>
            <w:r>
              <w:rPr>
                <w:rFonts w:eastAsia="Arial Unicode MS" w:cs="Arial Unicode MS"/>
              </w:rPr>
              <w:t>Percentage of scheduled reviews held; actions taken based on M&amp;E findings; trend improvements on key performance indicators quarter-to-quarter.</w:t>
            </w:r>
          </w:p>
        </w:tc>
        <w:tc>
          <w:tcPr>
            <w:tcW w:w="1726"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5328F9D6">
            <w:pPr>
              <w:pStyle w:val="3"/>
            </w:pPr>
            <w:r>
              <w:rPr>
                <w:rFonts w:eastAsia="Arial Unicode MS" w:cs="Arial Unicode MS"/>
              </w:rPr>
              <w:t>Approved M&amp;E plan; quarterly/annual M&amp;E reports; management review minutes; action trackers.</w:t>
            </w:r>
          </w:p>
        </w:tc>
        <w:tc>
          <w:tcPr>
            <w:tcW w:w="2226"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54" w:type="dxa"/>
            </w:tcMar>
          </w:tcPr>
          <w:p w14:paraId="660557BD">
            <w:pPr>
              <w:pStyle w:val="3"/>
            </w:pPr>
            <w:r>
              <w:rPr>
                <w:rFonts w:eastAsia="Arial Unicode MS" w:cs="Arial Unicode MS"/>
              </w:rPr>
              <w:t>Reliable data systems; leadership uses evidence for decisions.</w:t>
            </w:r>
          </w:p>
        </w:tc>
      </w:tr>
      <w:tr w14:paraId="31F744C6">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257" w:hRule="atLeast"/>
        </w:trPr>
        <w:tc>
          <w:tcPr>
            <w:tcW w:w="2342" w:type="dxa"/>
            <w:tcBorders>
              <w:top w:val="dotted" w:color="919191" w:sz="6" w:space="0"/>
              <w:left w:val="nil"/>
              <w:bottom w:val="dotted" w:color="919191" w:sz="6" w:space="0"/>
              <w:right w:val="single" w:color="919191" w:sz="2" w:space="0"/>
            </w:tcBorders>
            <w:tcMar>
              <w:top w:w="54" w:type="dxa"/>
              <w:left w:w="54" w:type="dxa"/>
              <w:bottom w:w="54" w:type="dxa"/>
              <w:right w:w="54" w:type="dxa"/>
            </w:tcMar>
          </w:tcPr>
          <w:p w14:paraId="0C1193C4">
            <w:pPr>
              <w:pStyle w:val="3"/>
            </w:pPr>
            <w:r>
              <w:rPr>
                <w:rFonts w:eastAsia="Arial Unicode MS" w:cs="Arial Unicode MS"/>
              </w:rPr>
              <w:t>3.3 Improved customer/stakeholder experience</w:t>
            </w:r>
          </w:p>
        </w:tc>
        <w:tc>
          <w:tcPr>
            <w:tcW w:w="3064"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195E8EA9">
            <w:pPr>
              <w:pStyle w:val="3"/>
            </w:pPr>
            <w:r>
              <w:rPr>
                <w:rFonts w:eastAsia="Arial Unicode MS" w:cs="Arial Unicode MS"/>
              </w:rPr>
              <w:t>Average response time to inquiries; percentage of grievances resolved within agreed timelines; student/staff satisfaction index with administrative/academic support services; Net Promoter Score (NPS) for service quality.</w:t>
            </w:r>
          </w:p>
        </w:tc>
        <w:tc>
          <w:tcPr>
            <w:tcW w:w="1726"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5B93B5AC">
            <w:pPr>
              <w:pStyle w:val="3"/>
            </w:pPr>
            <w:r>
              <w:rPr>
                <w:rFonts w:eastAsia="Arial Unicode MS" w:cs="Arial Unicode MS"/>
              </w:rPr>
              <w:t>Customer feedback surveys; grievance redress logs; service desk reports; annual satisfaction reports.</w:t>
            </w:r>
          </w:p>
        </w:tc>
        <w:tc>
          <w:tcPr>
            <w:tcW w:w="2226" w:type="dxa"/>
            <w:tcBorders>
              <w:top w:val="dotted" w:color="919191" w:sz="6" w:space="0"/>
              <w:left w:val="single" w:color="919191" w:sz="2" w:space="0"/>
              <w:bottom w:val="dotted" w:color="919191" w:sz="6" w:space="0"/>
              <w:right w:val="nil"/>
            </w:tcBorders>
            <w:tcMar>
              <w:top w:w="54" w:type="dxa"/>
              <w:left w:w="54" w:type="dxa"/>
              <w:bottom w:w="54" w:type="dxa"/>
              <w:right w:w="54" w:type="dxa"/>
            </w:tcMar>
          </w:tcPr>
          <w:p w14:paraId="4CAD5DE0">
            <w:pPr>
              <w:pStyle w:val="3"/>
            </w:pPr>
            <w:r>
              <w:rPr>
                <w:rFonts w:eastAsia="Arial Unicode MS" w:cs="Arial Unicode MS"/>
              </w:rPr>
              <w:t>Leadership commitment to a service culture; feedback mechanisms remain accessible and trusted.</w:t>
            </w:r>
          </w:p>
        </w:tc>
      </w:tr>
      <w:tr w14:paraId="1E397240">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09" w:hRule="atLeast"/>
        </w:trPr>
        <w:tc>
          <w:tcPr>
            <w:tcW w:w="2342" w:type="dxa"/>
            <w:tcBorders>
              <w:top w:val="dotted" w:color="919191" w:sz="6" w:space="0"/>
              <w:left w:val="nil"/>
              <w:bottom w:val="dotted" w:color="919191" w:sz="6" w:space="0"/>
              <w:right w:val="single" w:color="919191" w:sz="2" w:space="0"/>
            </w:tcBorders>
            <w:shd w:val="clear" w:color="auto" w:fill="E1E1E1"/>
            <w:tcMar>
              <w:top w:w="54" w:type="dxa"/>
              <w:left w:w="54" w:type="dxa"/>
              <w:bottom w:w="54" w:type="dxa"/>
              <w:right w:w="54" w:type="dxa"/>
            </w:tcMar>
          </w:tcPr>
          <w:p w14:paraId="76163711">
            <w:pPr>
              <w:pStyle w:val="3"/>
            </w:pPr>
            <w:r>
              <w:rPr>
                <w:rFonts w:eastAsia="Arial Unicode MS" w:cs="Arial Unicode MS"/>
              </w:rPr>
              <w:t>Output</w:t>
            </w:r>
          </w:p>
        </w:tc>
        <w:tc>
          <w:tcPr>
            <w:tcW w:w="3064" w:type="dxa"/>
            <w:tcBorders>
              <w:top w:val="dotted" w:color="919191" w:sz="6" w:space="0"/>
              <w:left w:val="single" w:color="919191" w:sz="2" w:space="0"/>
              <w:bottom w:val="dotted" w:color="919191" w:sz="6" w:space="0"/>
              <w:right w:val="single" w:color="919191" w:sz="2" w:space="0"/>
            </w:tcBorders>
            <w:shd w:val="clear" w:color="auto" w:fill="E1E1E1"/>
            <w:tcMar>
              <w:top w:w="54" w:type="dxa"/>
              <w:left w:w="54" w:type="dxa"/>
              <w:bottom w:w="54" w:type="dxa"/>
              <w:right w:w="54" w:type="dxa"/>
            </w:tcMar>
          </w:tcPr>
          <w:p w14:paraId="4D4B90E5"/>
        </w:tc>
        <w:tc>
          <w:tcPr>
            <w:tcW w:w="1726" w:type="dxa"/>
            <w:tcBorders>
              <w:top w:val="dotted" w:color="919191" w:sz="6" w:space="0"/>
              <w:left w:val="single" w:color="919191" w:sz="2" w:space="0"/>
              <w:bottom w:val="dotted" w:color="919191" w:sz="6" w:space="0"/>
              <w:right w:val="single" w:color="919191" w:sz="2" w:space="0"/>
            </w:tcBorders>
            <w:shd w:val="clear" w:color="auto" w:fill="E1E1E1"/>
            <w:tcMar>
              <w:top w:w="54" w:type="dxa"/>
              <w:left w:w="54" w:type="dxa"/>
              <w:bottom w:w="54" w:type="dxa"/>
              <w:right w:w="54" w:type="dxa"/>
            </w:tcMar>
          </w:tcPr>
          <w:p w14:paraId="6702757C"/>
        </w:tc>
        <w:tc>
          <w:tcPr>
            <w:tcW w:w="2226" w:type="dxa"/>
            <w:tcBorders>
              <w:top w:val="dotted" w:color="919191" w:sz="6" w:space="0"/>
              <w:left w:val="single" w:color="919191" w:sz="2" w:space="0"/>
              <w:bottom w:val="dotted" w:color="919191" w:sz="6" w:space="0"/>
              <w:right w:val="nil"/>
            </w:tcBorders>
            <w:shd w:val="clear" w:color="auto" w:fill="E1E1E1"/>
            <w:tcMar>
              <w:top w:w="54" w:type="dxa"/>
              <w:left w:w="54" w:type="dxa"/>
              <w:bottom w:w="54" w:type="dxa"/>
              <w:right w:w="54" w:type="dxa"/>
            </w:tcMar>
          </w:tcPr>
          <w:p w14:paraId="6461FD25"/>
        </w:tc>
      </w:tr>
      <w:tr w14:paraId="0156776C">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863" w:hRule="atLeast"/>
        </w:trPr>
        <w:tc>
          <w:tcPr>
            <w:tcW w:w="2342" w:type="dxa"/>
            <w:tcBorders>
              <w:top w:val="dotted" w:color="919191" w:sz="6" w:space="0"/>
              <w:left w:val="nil"/>
              <w:bottom w:val="dotted" w:color="919191" w:sz="6" w:space="0"/>
              <w:right w:val="single" w:color="919191" w:sz="2" w:space="0"/>
            </w:tcBorders>
            <w:tcMar>
              <w:top w:w="54" w:type="dxa"/>
              <w:left w:w="54" w:type="dxa"/>
              <w:bottom w:w="54" w:type="dxa"/>
              <w:right w:w="54" w:type="dxa"/>
            </w:tcMar>
          </w:tcPr>
          <w:p w14:paraId="1CE0B3C1">
            <w:pPr>
              <w:pStyle w:val="3"/>
            </w:pPr>
            <w:r>
              <w:rPr>
                <w:rFonts w:eastAsia="Arial Unicode MS" w:cs="Arial Unicode MS"/>
              </w:rPr>
              <w:t>3.4 Modern service delivery systems</w:t>
            </w:r>
          </w:p>
        </w:tc>
        <w:tc>
          <w:tcPr>
            <w:tcW w:w="3064"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735CB6EC">
            <w:pPr>
              <w:pStyle w:val="3"/>
            </w:pPr>
            <w:r>
              <w:rPr>
                <w:rFonts w:eastAsia="Arial Unicode MS" w:cs="Arial Unicode MS"/>
              </w:rPr>
              <w:t xml:space="preserve">Systems include ICT-enabled services, e-libraries, e-procurement, digital classrooms. </w:t>
            </w:r>
          </w:p>
          <w:p w14:paraId="46E26456">
            <w:pPr>
              <w:pStyle w:val="3"/>
            </w:pPr>
            <w:r>
              <w:rPr>
                <w:rFonts w:eastAsia="Arial Unicode MS" w:cs="Arial Unicode MS"/>
              </w:rPr>
              <w:t>Metrics: number of services digitized, percentage reduction in service delivery time.</w:t>
            </w:r>
          </w:p>
        </w:tc>
        <w:tc>
          <w:tcPr>
            <w:tcW w:w="1726"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76300098">
            <w:pPr>
              <w:pStyle w:val="3"/>
            </w:pPr>
            <w:r>
              <w:rPr>
                <w:rFonts w:eastAsia="Arial Unicode MS" w:cs="Arial Unicode MS"/>
              </w:rPr>
              <w:t>ICT system logs, user reports, service audits.</w:t>
            </w:r>
          </w:p>
        </w:tc>
        <w:tc>
          <w:tcPr>
            <w:tcW w:w="2226" w:type="dxa"/>
            <w:tcBorders>
              <w:top w:val="dotted" w:color="919191" w:sz="6" w:space="0"/>
              <w:left w:val="single" w:color="919191" w:sz="2" w:space="0"/>
              <w:bottom w:val="dotted" w:color="919191" w:sz="6" w:space="0"/>
              <w:right w:val="nil"/>
            </w:tcBorders>
            <w:tcMar>
              <w:top w:w="54" w:type="dxa"/>
              <w:left w:w="54" w:type="dxa"/>
              <w:bottom w:w="54" w:type="dxa"/>
              <w:right w:w="54" w:type="dxa"/>
            </w:tcMar>
          </w:tcPr>
          <w:p w14:paraId="2A93C0C1">
            <w:pPr>
              <w:pStyle w:val="3"/>
            </w:pPr>
            <w:r>
              <w:rPr>
                <w:rFonts w:eastAsia="Arial Unicode MS" w:cs="Arial Unicode MS"/>
              </w:rPr>
              <w:t>Adequate ICT infrastructure and technical support.</w:t>
            </w:r>
          </w:p>
        </w:tc>
      </w:tr>
      <w:tr w14:paraId="54C2AE22">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577" w:hRule="atLeast"/>
        </w:trPr>
        <w:tc>
          <w:tcPr>
            <w:tcW w:w="2342" w:type="dxa"/>
            <w:tcBorders>
              <w:top w:val="dotted" w:color="919191" w:sz="6" w:space="0"/>
              <w:left w:val="nil"/>
              <w:bottom w:val="dotted" w:color="919191" w:sz="6" w:space="0"/>
              <w:right w:val="single" w:color="919191" w:sz="2" w:space="0"/>
            </w:tcBorders>
            <w:shd w:val="clear" w:color="auto" w:fill="EEEEEE"/>
            <w:tcMar>
              <w:top w:w="54" w:type="dxa"/>
              <w:left w:w="54" w:type="dxa"/>
              <w:bottom w:w="54" w:type="dxa"/>
              <w:right w:w="54" w:type="dxa"/>
            </w:tcMar>
          </w:tcPr>
          <w:p w14:paraId="6D300C66">
            <w:pPr>
              <w:pStyle w:val="3"/>
            </w:pPr>
            <w:r>
              <w:rPr>
                <w:rFonts w:eastAsia="Arial Unicode MS" w:cs="Arial Unicode MS"/>
              </w:rPr>
              <w:t>3.5 Improved service quality and efficiency</w:t>
            </w:r>
          </w:p>
        </w:tc>
        <w:tc>
          <w:tcPr>
            <w:tcW w:w="3064"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67589EAA">
            <w:pPr>
              <w:pStyle w:val="3"/>
            </w:pPr>
            <w:r>
              <w:rPr>
                <w:rFonts w:eastAsia="Arial Unicode MS" w:cs="Arial Unicode MS"/>
              </w:rPr>
              <w:t xml:space="preserve">Training covers customer service, ICT systems, and quality assurance. </w:t>
            </w:r>
          </w:p>
          <w:p w14:paraId="4DCBBD7E">
            <w:pPr>
              <w:pStyle w:val="3"/>
            </w:pPr>
            <w:r>
              <w:rPr>
                <w:rFonts w:eastAsia="Arial Unicode MS" w:cs="Arial Unicode MS"/>
              </w:rPr>
              <w:t>Metrics: number of staff trained, service satisfaction ratings.</w:t>
            </w:r>
          </w:p>
        </w:tc>
        <w:tc>
          <w:tcPr>
            <w:tcW w:w="1726"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1C316D88">
            <w:pPr>
              <w:pStyle w:val="3"/>
            </w:pPr>
            <w:r>
              <w:rPr>
                <w:rFonts w:eastAsia="Arial Unicode MS" w:cs="Arial Unicode MS"/>
              </w:rPr>
              <w:t>Training reports, feedback surveys, performance appraisals.</w:t>
            </w:r>
          </w:p>
        </w:tc>
        <w:tc>
          <w:tcPr>
            <w:tcW w:w="2226"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54" w:type="dxa"/>
            </w:tcMar>
          </w:tcPr>
          <w:p w14:paraId="2F43BD52">
            <w:pPr>
              <w:pStyle w:val="3"/>
            </w:pPr>
            <w:r>
              <w:rPr>
                <w:rFonts w:eastAsia="Arial Unicode MS" w:cs="Arial Unicode MS"/>
              </w:rPr>
              <w:t>Staff willingness to adopt continuous improvement practices.</w:t>
            </w:r>
          </w:p>
        </w:tc>
      </w:tr>
      <w:tr w14:paraId="3FD34322">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397" w:hRule="atLeast"/>
        </w:trPr>
        <w:tc>
          <w:tcPr>
            <w:tcW w:w="2342" w:type="dxa"/>
            <w:tcBorders>
              <w:top w:val="dotted" w:color="919191" w:sz="6" w:space="0"/>
              <w:left w:val="nil"/>
              <w:bottom w:val="dotted" w:color="919191" w:sz="6" w:space="0"/>
              <w:right w:val="single" w:color="919191" w:sz="2" w:space="0"/>
            </w:tcBorders>
            <w:tcMar>
              <w:top w:w="54" w:type="dxa"/>
              <w:left w:w="54" w:type="dxa"/>
              <w:bottom w:w="54" w:type="dxa"/>
              <w:right w:w="54" w:type="dxa"/>
            </w:tcMar>
          </w:tcPr>
          <w:p w14:paraId="4B9F22CC">
            <w:pPr>
              <w:pStyle w:val="3"/>
            </w:pPr>
            <w:r>
              <w:rPr>
                <w:rFonts w:eastAsia="Arial Unicode MS" w:cs="Arial Unicode MS"/>
              </w:rPr>
              <w:t>3. Quality assurance mechanism</w:t>
            </w:r>
          </w:p>
        </w:tc>
        <w:tc>
          <w:tcPr>
            <w:tcW w:w="3064"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3306BAC9">
            <w:pPr>
              <w:pStyle w:val="3"/>
            </w:pPr>
            <w:r>
              <w:rPr>
                <w:rFonts w:eastAsia="Arial Unicode MS" w:cs="Arial Unicode MS"/>
              </w:rPr>
              <w:t>Internal systems to monitor efficiency and service standards. Metrics: number of audits conducted, compliance with benchmarks.</w:t>
            </w:r>
          </w:p>
        </w:tc>
        <w:tc>
          <w:tcPr>
            <w:tcW w:w="1726"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24388039">
            <w:pPr>
              <w:pStyle w:val="3"/>
            </w:pPr>
            <w:r>
              <w:rPr>
                <w:rFonts w:eastAsia="Arial Unicode MS" w:cs="Arial Unicode MS"/>
              </w:rPr>
              <w:t>QA reports, audit findings, accreditation results.</w:t>
            </w:r>
          </w:p>
        </w:tc>
        <w:tc>
          <w:tcPr>
            <w:tcW w:w="2226" w:type="dxa"/>
            <w:tcBorders>
              <w:top w:val="dotted" w:color="919191" w:sz="6" w:space="0"/>
              <w:left w:val="single" w:color="919191" w:sz="2" w:space="0"/>
              <w:bottom w:val="dotted" w:color="919191" w:sz="6" w:space="0"/>
              <w:right w:val="nil"/>
            </w:tcBorders>
            <w:tcMar>
              <w:top w:w="54" w:type="dxa"/>
              <w:left w:w="54" w:type="dxa"/>
              <w:bottom w:w="54" w:type="dxa"/>
              <w:right w:w="54" w:type="dxa"/>
            </w:tcMar>
          </w:tcPr>
          <w:p w14:paraId="269BBDF6">
            <w:pPr>
              <w:pStyle w:val="3"/>
            </w:pPr>
            <w:r>
              <w:rPr>
                <w:rFonts w:eastAsia="Arial Unicode MS" w:cs="Arial Unicode MS"/>
              </w:rPr>
              <w:t>Management commitment to enforcing standards.</w:t>
            </w:r>
          </w:p>
        </w:tc>
      </w:tr>
      <w:tr w14:paraId="51B84CF5">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282" w:hRule="atLeast"/>
        </w:trPr>
        <w:tc>
          <w:tcPr>
            <w:tcW w:w="2342" w:type="dxa"/>
            <w:tcBorders>
              <w:top w:val="dotted" w:color="919191" w:sz="6" w:space="0"/>
              <w:left w:val="nil"/>
              <w:bottom w:val="nil"/>
              <w:right w:val="single" w:color="919191" w:sz="2" w:space="0"/>
            </w:tcBorders>
            <w:shd w:val="clear" w:color="auto" w:fill="EEEEEE"/>
            <w:tcMar>
              <w:top w:w="54" w:type="dxa"/>
              <w:left w:w="54" w:type="dxa"/>
              <w:bottom w:w="54" w:type="dxa"/>
              <w:right w:w="54" w:type="dxa"/>
            </w:tcMar>
          </w:tcPr>
          <w:p w14:paraId="26C3551B">
            <w:pPr>
              <w:pStyle w:val="3"/>
            </w:pPr>
            <w:r>
              <w:rPr>
                <w:rFonts w:eastAsia="Arial Unicode MS" w:cs="Arial Unicode MS"/>
              </w:rPr>
              <w:t>3.7 Client/stakeholder feedback systems</w:t>
            </w:r>
          </w:p>
        </w:tc>
        <w:tc>
          <w:tcPr>
            <w:tcW w:w="3064" w:type="dxa"/>
            <w:tcBorders>
              <w:top w:val="dotted" w:color="919191" w:sz="6" w:space="0"/>
              <w:left w:val="single" w:color="919191" w:sz="2" w:space="0"/>
              <w:bottom w:val="nil"/>
              <w:right w:val="single" w:color="919191" w:sz="2" w:space="0"/>
            </w:tcBorders>
            <w:shd w:val="clear" w:color="auto" w:fill="EEEEEE"/>
            <w:tcMar>
              <w:top w:w="54" w:type="dxa"/>
              <w:left w:w="54" w:type="dxa"/>
              <w:bottom w:w="54" w:type="dxa"/>
              <w:right w:w="54" w:type="dxa"/>
            </w:tcMar>
          </w:tcPr>
          <w:p w14:paraId="2EA4B9E9">
            <w:pPr>
              <w:pStyle w:val="3"/>
            </w:pPr>
            <w:r>
              <w:rPr>
                <w:rFonts w:eastAsia="Arial Unicode MS" w:cs="Arial Unicode MS"/>
              </w:rPr>
              <w:t xml:space="preserve">Surveys and helpdesks. </w:t>
            </w:r>
          </w:p>
          <w:p w14:paraId="007CF5F7">
            <w:pPr>
              <w:pStyle w:val="3"/>
            </w:pPr>
            <w:r>
              <w:rPr>
                <w:rFonts w:eastAsia="Arial Unicode MS" w:cs="Arial Unicode MS"/>
              </w:rPr>
              <w:t>Metrics: frequency of feedback collection, satisfaction levels, response rate to complaints.</w:t>
            </w:r>
          </w:p>
        </w:tc>
        <w:tc>
          <w:tcPr>
            <w:tcW w:w="1726" w:type="dxa"/>
            <w:tcBorders>
              <w:top w:val="dotted" w:color="919191" w:sz="6" w:space="0"/>
              <w:left w:val="single" w:color="919191" w:sz="2" w:space="0"/>
              <w:bottom w:val="nil"/>
              <w:right w:val="single" w:color="919191" w:sz="2" w:space="0"/>
            </w:tcBorders>
            <w:shd w:val="clear" w:color="auto" w:fill="EEEEEE"/>
            <w:tcMar>
              <w:top w:w="54" w:type="dxa"/>
              <w:left w:w="54" w:type="dxa"/>
              <w:bottom w:w="54" w:type="dxa"/>
              <w:right w:w="54" w:type="dxa"/>
            </w:tcMar>
          </w:tcPr>
          <w:p w14:paraId="54F4C1CC">
            <w:pPr>
              <w:pStyle w:val="3"/>
            </w:pPr>
            <w:r>
              <w:rPr>
                <w:rFonts w:eastAsia="Arial Unicode MS" w:cs="Arial Unicode MS"/>
              </w:rPr>
              <w:t>Feedback reports, survey data, complaint logs.</w:t>
            </w:r>
          </w:p>
        </w:tc>
        <w:tc>
          <w:tcPr>
            <w:tcW w:w="2226" w:type="dxa"/>
            <w:tcBorders>
              <w:top w:val="dotted" w:color="919191" w:sz="6" w:space="0"/>
              <w:left w:val="single" w:color="919191" w:sz="2" w:space="0"/>
              <w:bottom w:val="nil"/>
              <w:right w:val="nil"/>
            </w:tcBorders>
            <w:shd w:val="clear" w:color="auto" w:fill="EEEEEE"/>
            <w:tcMar>
              <w:top w:w="54" w:type="dxa"/>
              <w:left w:w="54" w:type="dxa"/>
              <w:bottom w:w="54" w:type="dxa"/>
              <w:right w:w="54" w:type="dxa"/>
            </w:tcMar>
          </w:tcPr>
          <w:p w14:paraId="4CBB8A5F">
            <w:pPr>
              <w:pStyle w:val="3"/>
            </w:pPr>
            <w:r>
              <w:rPr>
                <w:rFonts w:eastAsia="Arial Unicode MS" w:cs="Arial Unicode MS"/>
              </w:rPr>
              <w:t>Stakeholders willing to provide honest feedback.</w:t>
            </w:r>
          </w:p>
        </w:tc>
      </w:tr>
    </w:tbl>
    <w:p w14:paraId="266D22CE">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43DCFD78">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0FF4CD1F">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3D6DE0A6">
      <w:pPr>
        <w:pStyle w:val="3"/>
        <w:jc w:val="both"/>
        <w:rPr>
          <w:rFonts w:ascii="Helvetica Neue" w:hAnsi="Helvetica Neue" w:eastAsia="Helvetica Neue" w:cs="Helvetica Neue"/>
          <w:b/>
          <w:bCs/>
          <w:sz w:val="22"/>
          <w:szCs w:val="22"/>
        </w:rPr>
      </w:pPr>
      <w:r>
        <w:rPr>
          <w:rFonts w:ascii="Helvetica Neue" w:hAnsi="Helvetica Neue"/>
          <w:b/>
          <w:bCs/>
          <w:sz w:val="22"/>
          <w:szCs w:val="22"/>
          <w:lang w:val="en-US"/>
        </w:rPr>
        <w:t xml:space="preserve">Strategic Objective 4: Enhance University Access and Institutional Attractiveness </w:t>
      </w:r>
    </w:p>
    <w:p w14:paraId="3B501799">
      <w:pPr>
        <w:pStyle w:val="3"/>
        <w:jc w:val="both"/>
        <w:rPr>
          <w:sz w:val="22"/>
          <w:szCs w:val="22"/>
        </w:rPr>
      </w:pPr>
      <w:r>
        <w:rPr>
          <w:sz w:val="22"/>
          <w:szCs w:val="22"/>
          <w:lang w:val="en-US"/>
        </w:rPr>
        <w:t>The following indicators in Table 4 are targeted towards expanding access to educational opportunities and improving the attractiveness of the University of Nigeria through Public-Private Partnership initiatives.</w:t>
      </w:r>
    </w:p>
    <w:p w14:paraId="0AA61384">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204754A5">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Helvetica Neue" w:hAnsi="Helvetica Neue" w:eastAsia="Helvetica Neue" w:cs="Helvetica Neue"/>
          <w:b/>
          <w:bCs/>
          <w:sz w:val="24"/>
          <w:szCs w:val="24"/>
        </w:rPr>
      </w:pPr>
      <w:r>
        <w:rPr>
          <w:rFonts w:ascii="Helvetica Neue" w:hAnsi="Helvetica Neue"/>
          <w:b/>
          <w:bCs/>
          <w:sz w:val="24"/>
          <w:szCs w:val="24"/>
          <w:lang w:val="en-US"/>
        </w:rPr>
        <w:t>Table 4: Logical Framework for Strategic Objective 4</w:t>
      </w:r>
    </w:p>
    <w:tbl>
      <w:tblPr>
        <w:tblStyle w:val="6"/>
        <w:tblW w:w="9360" w:type="dxa"/>
        <w:tblInd w:w="108" w:type="dxa"/>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Layout w:type="fixed"/>
        <w:tblCellMar>
          <w:top w:w="0" w:type="dxa"/>
          <w:left w:w="108" w:type="dxa"/>
          <w:bottom w:w="0" w:type="dxa"/>
          <w:right w:w="108" w:type="dxa"/>
        </w:tblCellMar>
      </w:tblPr>
      <w:tblGrid>
        <w:gridCol w:w="1791"/>
        <w:gridCol w:w="3352"/>
        <w:gridCol w:w="2227"/>
        <w:gridCol w:w="1990"/>
      </w:tblGrid>
      <w:tr w14:paraId="65452FF2">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529" w:hRule="atLeast"/>
        </w:trPr>
        <w:tc>
          <w:tcPr>
            <w:tcW w:w="1791" w:type="dxa"/>
            <w:tcBorders>
              <w:top w:val="nil"/>
              <w:left w:val="nil"/>
              <w:bottom w:val="dotted" w:color="919191" w:sz="6" w:space="0"/>
              <w:right w:val="single" w:color="919191" w:sz="2" w:space="0"/>
            </w:tcBorders>
            <w:shd w:val="clear" w:color="auto" w:fill="E1E1E1"/>
            <w:tcMar>
              <w:top w:w="54" w:type="dxa"/>
              <w:left w:w="54" w:type="dxa"/>
              <w:bottom w:w="54" w:type="dxa"/>
              <w:right w:w="54" w:type="dxa"/>
            </w:tcMar>
          </w:tcPr>
          <w:p w14:paraId="6B86FF6D"/>
        </w:tc>
        <w:tc>
          <w:tcPr>
            <w:tcW w:w="3351" w:type="dxa"/>
            <w:tcBorders>
              <w:top w:val="nil"/>
              <w:left w:val="single" w:color="919191" w:sz="2" w:space="0"/>
              <w:bottom w:val="dotted" w:color="919191" w:sz="6" w:space="0"/>
              <w:right w:val="single" w:color="919191" w:sz="2" w:space="0"/>
            </w:tcBorders>
            <w:shd w:val="clear" w:color="auto" w:fill="E1E1E1"/>
            <w:tcMar>
              <w:top w:w="54" w:type="dxa"/>
              <w:left w:w="54" w:type="dxa"/>
              <w:bottom w:w="54" w:type="dxa"/>
              <w:right w:w="54" w:type="dxa"/>
            </w:tcMar>
          </w:tcPr>
          <w:p w14:paraId="3501EF5C">
            <w:pPr>
              <w:pStyle w:val="3"/>
            </w:pPr>
            <w:r>
              <w:rPr>
                <w:rFonts w:eastAsia="Arial Unicode MS" w:cs="Arial Unicode MS"/>
              </w:rPr>
              <w:t>Indicators</w:t>
            </w:r>
          </w:p>
        </w:tc>
        <w:tc>
          <w:tcPr>
            <w:tcW w:w="2226" w:type="dxa"/>
            <w:tcBorders>
              <w:top w:val="nil"/>
              <w:left w:val="single" w:color="919191" w:sz="2" w:space="0"/>
              <w:bottom w:val="dotted" w:color="919191" w:sz="6" w:space="0"/>
              <w:right w:val="single" w:color="919191" w:sz="2" w:space="0"/>
            </w:tcBorders>
            <w:shd w:val="clear" w:color="auto" w:fill="E1E1E1"/>
            <w:tcMar>
              <w:top w:w="54" w:type="dxa"/>
              <w:left w:w="54" w:type="dxa"/>
              <w:bottom w:w="54" w:type="dxa"/>
              <w:right w:w="54" w:type="dxa"/>
            </w:tcMar>
          </w:tcPr>
          <w:p w14:paraId="26487284">
            <w:pPr>
              <w:pStyle w:val="3"/>
            </w:pPr>
            <w:r>
              <w:rPr>
                <w:rFonts w:eastAsia="Arial Unicode MS" w:cs="Arial Unicode MS"/>
              </w:rPr>
              <w:t>Means of Verification</w:t>
            </w:r>
          </w:p>
        </w:tc>
        <w:tc>
          <w:tcPr>
            <w:tcW w:w="1989" w:type="dxa"/>
            <w:tcBorders>
              <w:top w:val="nil"/>
              <w:left w:val="single" w:color="919191" w:sz="2" w:space="0"/>
              <w:bottom w:val="dotted" w:color="919191" w:sz="6" w:space="0"/>
              <w:right w:val="nil"/>
            </w:tcBorders>
            <w:shd w:val="clear" w:color="auto" w:fill="E1E1E1"/>
            <w:tcMar>
              <w:top w:w="54" w:type="dxa"/>
              <w:left w:w="54" w:type="dxa"/>
              <w:bottom w:w="54" w:type="dxa"/>
              <w:right w:w="54" w:type="dxa"/>
            </w:tcMar>
          </w:tcPr>
          <w:p w14:paraId="445E007A">
            <w:pPr>
              <w:pStyle w:val="3"/>
            </w:pPr>
            <w:r>
              <w:rPr>
                <w:rFonts w:eastAsia="Arial Unicode MS" w:cs="Arial Unicode MS"/>
              </w:rPr>
              <w:t>Assumptions for the Objective</w:t>
            </w:r>
          </w:p>
        </w:tc>
      </w:tr>
      <w:tr w14:paraId="0DD0C7C0">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49" w:hRule="atLeast"/>
        </w:trPr>
        <w:tc>
          <w:tcPr>
            <w:tcW w:w="1791" w:type="dxa"/>
            <w:tcBorders>
              <w:top w:val="dotted" w:color="919191" w:sz="6" w:space="0"/>
              <w:left w:val="nil"/>
              <w:bottom w:val="dotted" w:color="919191" w:sz="6" w:space="0"/>
              <w:right w:val="single" w:color="919191" w:sz="2" w:space="0"/>
            </w:tcBorders>
            <w:shd w:val="clear" w:color="auto" w:fill="E1E1E1"/>
            <w:tcMar>
              <w:top w:w="54" w:type="dxa"/>
              <w:left w:w="54" w:type="dxa"/>
              <w:bottom w:w="54" w:type="dxa"/>
              <w:right w:w="54" w:type="dxa"/>
            </w:tcMar>
          </w:tcPr>
          <w:p w14:paraId="2A4D38C6">
            <w:pPr>
              <w:pStyle w:val="3"/>
            </w:pPr>
            <w:r>
              <w:rPr>
                <w:rFonts w:eastAsia="Arial Unicode MS" w:cs="Arial Unicode MS"/>
              </w:rPr>
              <w:t>Outcome</w:t>
            </w:r>
          </w:p>
        </w:tc>
        <w:tc>
          <w:tcPr>
            <w:tcW w:w="3351" w:type="dxa"/>
            <w:tcBorders>
              <w:top w:val="dotted" w:color="919191" w:sz="6" w:space="0"/>
              <w:left w:val="single" w:color="919191" w:sz="2" w:space="0"/>
              <w:bottom w:val="dotted" w:color="919191" w:sz="6" w:space="0"/>
              <w:right w:val="single" w:color="919191" w:sz="2" w:space="0"/>
            </w:tcBorders>
            <w:shd w:val="clear" w:color="auto" w:fill="EEEEEE"/>
            <w:tcMar>
              <w:top w:w="80" w:type="dxa"/>
              <w:left w:w="80" w:type="dxa"/>
              <w:bottom w:w="80" w:type="dxa"/>
              <w:right w:w="80" w:type="dxa"/>
            </w:tcMar>
          </w:tcPr>
          <w:p w14:paraId="6F87BFF2"/>
        </w:tc>
        <w:tc>
          <w:tcPr>
            <w:tcW w:w="2226" w:type="dxa"/>
            <w:tcBorders>
              <w:top w:val="dotted" w:color="919191" w:sz="6" w:space="0"/>
              <w:left w:val="single" w:color="919191" w:sz="2" w:space="0"/>
              <w:bottom w:val="dotted" w:color="919191" w:sz="6" w:space="0"/>
              <w:right w:val="single" w:color="919191" w:sz="2" w:space="0"/>
            </w:tcBorders>
            <w:shd w:val="clear" w:color="auto" w:fill="EEEEEE"/>
            <w:tcMar>
              <w:top w:w="80" w:type="dxa"/>
              <w:left w:w="80" w:type="dxa"/>
              <w:bottom w:w="80" w:type="dxa"/>
              <w:right w:w="80" w:type="dxa"/>
            </w:tcMar>
          </w:tcPr>
          <w:p w14:paraId="45DB93B6"/>
        </w:tc>
        <w:tc>
          <w:tcPr>
            <w:tcW w:w="1989" w:type="dxa"/>
            <w:tcBorders>
              <w:top w:val="dotted" w:color="919191" w:sz="6" w:space="0"/>
              <w:left w:val="single" w:color="919191" w:sz="2" w:space="0"/>
              <w:bottom w:val="dotted" w:color="919191" w:sz="6" w:space="0"/>
              <w:right w:val="nil"/>
            </w:tcBorders>
            <w:shd w:val="clear" w:color="auto" w:fill="EEEEEE"/>
            <w:tcMar>
              <w:top w:w="80" w:type="dxa"/>
              <w:left w:w="80" w:type="dxa"/>
              <w:bottom w:w="80" w:type="dxa"/>
              <w:right w:w="80" w:type="dxa"/>
            </w:tcMar>
          </w:tcPr>
          <w:p w14:paraId="13BE7D12"/>
        </w:tc>
      </w:tr>
      <w:tr w14:paraId="27B445E2">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084" w:hRule="atLeast"/>
        </w:trPr>
        <w:tc>
          <w:tcPr>
            <w:tcW w:w="1791" w:type="dxa"/>
            <w:tcBorders>
              <w:top w:val="dotted" w:color="919191" w:sz="6" w:space="0"/>
              <w:left w:val="nil"/>
              <w:bottom w:val="dotted" w:color="919191" w:sz="6" w:space="0"/>
              <w:right w:val="single" w:color="919191" w:sz="2" w:space="0"/>
            </w:tcBorders>
            <w:tcMar>
              <w:top w:w="54" w:type="dxa"/>
              <w:left w:w="54" w:type="dxa"/>
              <w:bottom w:w="54" w:type="dxa"/>
              <w:right w:w="54" w:type="dxa"/>
            </w:tcMar>
          </w:tcPr>
          <w:p w14:paraId="1D8BCAAC">
            <w:pPr>
              <w:pStyle w:val="3"/>
            </w:pPr>
            <w:r>
              <w:rPr>
                <w:rFonts w:eastAsia="Arial Unicode MS" w:cs="Arial Unicode MS"/>
              </w:rPr>
              <w:t>4.1 Improved institutional reputation</w:t>
            </w:r>
          </w:p>
        </w:tc>
        <w:tc>
          <w:tcPr>
            <w:tcW w:w="3351"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16EAEB9F">
            <w:pPr>
              <w:pStyle w:val="3"/>
              <w:numPr>
                <w:ilvl w:val="1"/>
                <w:numId w:val="104"/>
              </w:numPr>
            </w:pPr>
            <w:r>
              <w:rPr>
                <w:rFonts w:eastAsia="Arial Unicode MS" w:cs="Arial Unicode MS"/>
                <w:lang w:val="en-US"/>
              </w:rPr>
              <w:t>Increase in students</w:t>
            </w:r>
            <w:r>
              <w:rPr>
                <w:rFonts w:eastAsia="Arial Unicode MS" w:cs="Arial Unicode MS"/>
                <w:rtl/>
              </w:rPr>
              <w:t xml:space="preserve">’ </w:t>
            </w:r>
            <w:r>
              <w:rPr>
                <w:rFonts w:eastAsia="Arial Unicode MS" w:cs="Arial Unicode MS"/>
                <w:lang w:val="en-US"/>
              </w:rPr>
              <w:t>applications and enrolment</w:t>
            </w:r>
          </w:p>
          <w:p w14:paraId="4D5E0302">
            <w:pPr>
              <w:pStyle w:val="3"/>
              <w:numPr>
                <w:ilvl w:val="1"/>
                <w:numId w:val="104"/>
              </w:numPr>
            </w:pPr>
            <w:r>
              <w:rPr>
                <w:rFonts w:eastAsia="Arial Unicode MS" w:cs="Arial Unicode MS"/>
                <w:lang w:val="en-US"/>
              </w:rPr>
              <w:t>Improvement in ranking/reputation % increase in research collaborations/partnerships</w:t>
            </w:r>
          </w:p>
          <w:p w14:paraId="2AA6522C">
            <w:pPr>
              <w:pStyle w:val="3"/>
              <w:numPr>
                <w:ilvl w:val="1"/>
                <w:numId w:val="104"/>
              </w:numPr>
            </w:pPr>
            <w:r>
              <w:rPr>
                <w:rFonts w:eastAsia="Arial Unicode MS" w:cs="Arial Unicode MS"/>
                <w:lang w:val="en-US"/>
              </w:rPr>
              <w:t>Satisfaction with campus facilities &amp; experience.</w:t>
            </w:r>
          </w:p>
        </w:tc>
        <w:tc>
          <w:tcPr>
            <w:tcW w:w="2226"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49AB31C8">
            <w:pPr>
              <w:pStyle w:val="3"/>
              <w:numPr>
                <w:ilvl w:val="1"/>
                <w:numId w:val="105"/>
              </w:numPr>
            </w:pPr>
            <w:r>
              <w:rPr>
                <w:rFonts w:eastAsia="Arial Unicode MS" w:cs="Arial Unicode MS"/>
                <w:lang w:val="en-US"/>
              </w:rPr>
              <w:t>Admissions statistics</w:t>
            </w:r>
          </w:p>
          <w:p w14:paraId="47A1B0A7">
            <w:pPr>
              <w:pStyle w:val="3"/>
              <w:numPr>
                <w:ilvl w:val="1"/>
                <w:numId w:val="105"/>
              </w:numPr>
            </w:pPr>
            <w:r>
              <w:rPr>
                <w:rFonts w:eastAsia="Arial Unicode MS" w:cs="Arial Unicode MS"/>
                <w:lang w:val="en-US"/>
              </w:rPr>
              <w:t xml:space="preserve">ranking/reputation reports; </w:t>
            </w:r>
          </w:p>
          <w:p w14:paraId="2102DF32">
            <w:pPr>
              <w:pStyle w:val="3"/>
              <w:numPr>
                <w:ilvl w:val="1"/>
                <w:numId w:val="105"/>
              </w:numPr>
            </w:pPr>
            <w:r>
              <w:rPr>
                <w:rFonts w:eastAsia="Arial Unicode MS" w:cs="Arial Unicode MS"/>
                <w:lang w:val="en-US"/>
              </w:rPr>
              <w:t xml:space="preserve">Memoranda of Understanding (MoUs) &amp; partnership records; </w:t>
            </w:r>
          </w:p>
          <w:p w14:paraId="0639438E">
            <w:pPr>
              <w:pStyle w:val="3"/>
              <w:numPr>
                <w:ilvl w:val="1"/>
                <w:numId w:val="105"/>
              </w:numPr>
            </w:pPr>
            <w:r>
              <w:rPr>
                <w:rFonts w:eastAsia="Arial Unicode MS" w:cs="Arial Unicode MS"/>
                <w:lang w:val="en-US"/>
              </w:rPr>
              <w:t>Campus experience surveys.</w:t>
            </w:r>
          </w:p>
        </w:tc>
        <w:tc>
          <w:tcPr>
            <w:tcW w:w="1989" w:type="dxa"/>
            <w:tcBorders>
              <w:top w:val="dotted" w:color="919191" w:sz="6" w:space="0"/>
              <w:left w:val="single" w:color="919191" w:sz="2" w:space="0"/>
              <w:bottom w:val="dotted" w:color="919191" w:sz="6" w:space="0"/>
              <w:right w:val="nil"/>
            </w:tcBorders>
            <w:tcMar>
              <w:top w:w="54" w:type="dxa"/>
              <w:left w:w="54" w:type="dxa"/>
              <w:bottom w:w="54" w:type="dxa"/>
              <w:right w:w="54" w:type="dxa"/>
            </w:tcMar>
          </w:tcPr>
          <w:p w14:paraId="5DE14F83">
            <w:pPr>
              <w:pStyle w:val="3"/>
            </w:pPr>
            <w:r>
              <w:rPr>
                <w:rFonts w:eastAsia="Arial Unicode MS" w:cs="Arial Unicode MS"/>
              </w:rPr>
              <w:t>Consistent service quality; positive stakeholder perception; supportive policy (e.g., visas for internationals).</w:t>
            </w:r>
          </w:p>
        </w:tc>
      </w:tr>
      <w:tr w14:paraId="4F7A99D4">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904" w:hRule="atLeast"/>
        </w:trPr>
        <w:tc>
          <w:tcPr>
            <w:tcW w:w="1791" w:type="dxa"/>
            <w:tcBorders>
              <w:top w:val="dotted" w:color="919191" w:sz="6" w:space="0"/>
              <w:left w:val="nil"/>
              <w:bottom w:val="dotted" w:color="919191" w:sz="6" w:space="0"/>
              <w:right w:val="single" w:color="919191" w:sz="2" w:space="0"/>
            </w:tcBorders>
            <w:shd w:val="clear" w:color="auto" w:fill="EEEEEE"/>
            <w:tcMar>
              <w:top w:w="54" w:type="dxa"/>
              <w:left w:w="54" w:type="dxa"/>
              <w:bottom w:w="54" w:type="dxa"/>
              <w:right w:w="54" w:type="dxa"/>
            </w:tcMar>
          </w:tcPr>
          <w:p w14:paraId="49E9BB27">
            <w:pPr>
              <w:pStyle w:val="3"/>
            </w:pPr>
            <w:r>
              <w:rPr>
                <w:rFonts w:eastAsia="Arial Unicode MS" w:cs="Arial Unicode MS"/>
              </w:rPr>
              <w:t>4.2 Strengthened internationalization and global visibility</w:t>
            </w:r>
          </w:p>
        </w:tc>
        <w:tc>
          <w:tcPr>
            <w:tcW w:w="3351"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26BDAF05">
            <w:pPr>
              <w:pStyle w:val="3"/>
              <w:numPr>
                <w:ilvl w:val="1"/>
                <w:numId w:val="106"/>
              </w:numPr>
            </w:pPr>
            <w:r>
              <w:rPr>
                <w:rFonts w:eastAsia="Arial Unicode MS" w:cs="Arial Unicode MS"/>
                <w:lang w:val="en-US"/>
              </w:rPr>
              <w:t>Number of international students enrolled</w:t>
            </w:r>
          </w:p>
          <w:p w14:paraId="55F02337">
            <w:pPr>
              <w:pStyle w:val="3"/>
              <w:numPr>
                <w:ilvl w:val="1"/>
                <w:numId w:val="106"/>
              </w:numPr>
            </w:pPr>
            <w:r>
              <w:rPr>
                <w:rFonts w:eastAsia="Arial Unicode MS" w:cs="Arial Unicode MS"/>
                <w:lang w:val="en-US"/>
              </w:rPr>
              <w:t>Participation in exchange programs</w:t>
            </w:r>
          </w:p>
          <w:p w14:paraId="7883CAFF">
            <w:pPr>
              <w:pStyle w:val="3"/>
              <w:numPr>
                <w:ilvl w:val="1"/>
                <w:numId w:val="106"/>
              </w:numPr>
            </w:pPr>
            <w:r>
              <w:rPr>
                <w:rFonts w:eastAsia="Arial Unicode MS" w:cs="Arial Unicode MS"/>
                <w:lang w:val="en-US"/>
              </w:rPr>
              <w:t>Joint research/publications with global partners attendance at international academic fairs.</w:t>
            </w:r>
          </w:p>
        </w:tc>
        <w:tc>
          <w:tcPr>
            <w:tcW w:w="2226"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730F868E">
            <w:pPr>
              <w:pStyle w:val="3"/>
            </w:pPr>
            <w:r>
              <w:rPr>
                <w:rFonts w:eastAsia="Arial Unicode MS" w:cs="Arial Unicode MS"/>
              </w:rPr>
              <w:t xml:space="preserve">Enrollment data </w:t>
            </w:r>
          </w:p>
          <w:p w14:paraId="35A9E169">
            <w:pPr>
              <w:pStyle w:val="3"/>
            </w:pPr>
            <w:r>
              <w:rPr>
                <w:rFonts w:eastAsia="Arial Unicode MS" w:cs="Arial Unicode MS"/>
              </w:rPr>
              <w:t>MoU agreements</w:t>
            </w:r>
          </w:p>
          <w:p w14:paraId="51393B4E">
            <w:pPr>
              <w:pStyle w:val="3"/>
            </w:pPr>
            <w:r>
              <w:rPr>
                <w:rFonts w:eastAsia="Arial Unicode MS" w:cs="Arial Unicode MS"/>
              </w:rPr>
              <w:t>research publication databases</w:t>
            </w:r>
          </w:p>
          <w:p w14:paraId="1BA50817">
            <w:pPr>
              <w:pStyle w:val="3"/>
            </w:pPr>
            <w:r>
              <w:rPr>
                <w:rFonts w:eastAsia="Arial Unicode MS" w:cs="Arial Unicode MS"/>
              </w:rPr>
              <w:t>International office reports.</w:t>
            </w:r>
          </w:p>
          <w:p w14:paraId="25340B49">
            <w:pPr>
              <w:pStyle w:val="3"/>
            </w:pPr>
          </w:p>
        </w:tc>
        <w:tc>
          <w:tcPr>
            <w:tcW w:w="1989"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54" w:type="dxa"/>
            </w:tcMar>
          </w:tcPr>
          <w:p w14:paraId="58A1BA72">
            <w:pPr>
              <w:pStyle w:val="3"/>
            </w:pPr>
            <w:r>
              <w:rPr>
                <w:rFonts w:eastAsia="Arial Unicode MS" w:cs="Arial Unicode MS"/>
              </w:rPr>
              <w:t>Stable international relations; strong institutional brand abroad.</w:t>
            </w:r>
          </w:p>
        </w:tc>
      </w:tr>
      <w:tr w14:paraId="7AD90954">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690" w:hRule="atLeast"/>
        </w:trPr>
        <w:tc>
          <w:tcPr>
            <w:tcW w:w="1791" w:type="dxa"/>
            <w:tcBorders>
              <w:top w:val="dotted" w:color="919191" w:sz="6" w:space="0"/>
              <w:left w:val="nil"/>
              <w:bottom w:val="dotted" w:color="919191" w:sz="6" w:space="0"/>
              <w:right w:val="single" w:color="919191" w:sz="2" w:space="0"/>
            </w:tcBorders>
            <w:tcMar>
              <w:top w:w="54" w:type="dxa"/>
              <w:left w:w="54" w:type="dxa"/>
              <w:bottom w:w="54" w:type="dxa"/>
              <w:right w:w="54" w:type="dxa"/>
            </w:tcMar>
          </w:tcPr>
          <w:p w14:paraId="2D6C41DE">
            <w:pPr>
              <w:pStyle w:val="3"/>
            </w:pPr>
            <w:r>
              <w:rPr>
                <w:rFonts w:eastAsia="Arial Unicode MS" w:cs="Arial Unicode MS"/>
              </w:rPr>
              <w:t>4.3. Improved graduate employability and industry relevance</w:t>
            </w:r>
          </w:p>
        </w:tc>
        <w:tc>
          <w:tcPr>
            <w:tcW w:w="3351"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2D27B20C">
            <w:pPr>
              <w:pStyle w:val="3"/>
              <w:numPr>
                <w:ilvl w:val="1"/>
                <w:numId w:val="107"/>
              </w:numPr>
            </w:pPr>
            <w:r>
              <w:rPr>
                <w:rFonts w:eastAsia="Arial Unicode MS" w:cs="Arial Unicode MS"/>
                <w:lang w:val="en-US"/>
              </w:rPr>
              <w:t>% of graduates employed within 12 months</w:t>
            </w:r>
          </w:p>
          <w:p w14:paraId="66E64C60">
            <w:pPr>
              <w:pStyle w:val="3"/>
              <w:numPr>
                <w:ilvl w:val="1"/>
                <w:numId w:val="107"/>
              </w:numPr>
            </w:pPr>
            <w:r>
              <w:rPr>
                <w:rFonts w:eastAsia="Arial Unicode MS" w:cs="Arial Unicode MS"/>
                <w:lang w:val="en-US"/>
              </w:rPr>
              <w:t>Internship/placement rate</w:t>
            </w:r>
          </w:p>
          <w:p w14:paraId="2C0CECCC">
            <w:pPr>
              <w:pStyle w:val="3"/>
              <w:numPr>
                <w:ilvl w:val="1"/>
                <w:numId w:val="107"/>
              </w:numPr>
            </w:pPr>
            <w:r>
              <w:rPr>
                <w:rFonts w:eastAsia="Arial Unicode MS" w:cs="Arial Unicode MS"/>
                <w:lang w:val="en-US"/>
              </w:rPr>
              <w:t>Employer satisfaction</w:t>
            </w:r>
          </w:p>
          <w:p w14:paraId="06E5137F">
            <w:pPr>
              <w:pStyle w:val="3"/>
              <w:numPr>
                <w:ilvl w:val="1"/>
                <w:numId w:val="107"/>
              </w:numPr>
            </w:pPr>
            <w:r>
              <w:rPr>
                <w:rFonts w:eastAsia="Arial Unicode MS" w:cs="Arial Unicode MS"/>
                <w:lang w:val="en-US"/>
              </w:rPr>
              <w:t>industry-co-taught courses/capstones</w:t>
            </w:r>
          </w:p>
          <w:p w14:paraId="1D29AA42">
            <w:pPr>
              <w:pStyle w:val="3"/>
              <w:numPr>
                <w:ilvl w:val="1"/>
                <w:numId w:val="107"/>
              </w:numPr>
            </w:pPr>
            <w:r>
              <w:rPr>
                <w:rFonts w:eastAsia="Arial Unicode MS" w:cs="Arial Unicode MS"/>
                <w:lang w:val="en-US"/>
              </w:rPr>
              <w:t>Accreditation status of programs.</w:t>
            </w:r>
          </w:p>
        </w:tc>
        <w:tc>
          <w:tcPr>
            <w:tcW w:w="2226"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62756584">
            <w:pPr>
              <w:pStyle w:val="3"/>
              <w:numPr>
                <w:ilvl w:val="1"/>
                <w:numId w:val="108"/>
              </w:numPr>
            </w:pPr>
            <w:r>
              <w:rPr>
                <w:rFonts w:eastAsia="Arial Unicode MS" w:cs="Arial Unicode MS"/>
                <w:lang w:val="fr-FR"/>
              </w:rPr>
              <w:t>Tracer studies</w:t>
            </w:r>
          </w:p>
          <w:p w14:paraId="4CC453FE">
            <w:pPr>
              <w:pStyle w:val="3"/>
              <w:numPr>
                <w:ilvl w:val="1"/>
                <w:numId w:val="108"/>
              </w:numPr>
            </w:pPr>
            <w:r>
              <w:rPr>
                <w:rFonts w:eastAsia="Arial Unicode MS" w:cs="Arial Unicode MS"/>
                <w:lang w:val="en-US"/>
              </w:rPr>
              <w:t>Career services records</w:t>
            </w:r>
          </w:p>
          <w:p w14:paraId="22D7055A">
            <w:pPr>
              <w:pStyle w:val="3"/>
              <w:numPr>
                <w:ilvl w:val="1"/>
                <w:numId w:val="108"/>
              </w:numPr>
            </w:pPr>
            <w:r>
              <w:rPr>
                <w:rFonts w:eastAsia="Arial Unicode MS" w:cs="Arial Unicode MS"/>
                <w:lang w:val="en-US"/>
              </w:rPr>
              <w:t>Employer surveys</w:t>
            </w:r>
          </w:p>
          <w:p w14:paraId="2DF50B83">
            <w:pPr>
              <w:pStyle w:val="3"/>
              <w:numPr>
                <w:ilvl w:val="1"/>
                <w:numId w:val="108"/>
              </w:numPr>
            </w:pPr>
            <w:r>
              <w:rPr>
                <w:rFonts w:eastAsia="Arial Unicode MS" w:cs="Arial Unicode MS"/>
                <w:lang w:val="it-IT"/>
              </w:rPr>
              <w:t>Accreditation letters.</w:t>
            </w:r>
          </w:p>
        </w:tc>
        <w:tc>
          <w:tcPr>
            <w:tcW w:w="1989" w:type="dxa"/>
            <w:tcBorders>
              <w:top w:val="dotted" w:color="919191" w:sz="6" w:space="0"/>
              <w:left w:val="single" w:color="919191" w:sz="2" w:space="0"/>
              <w:bottom w:val="dotted" w:color="919191" w:sz="6" w:space="0"/>
              <w:right w:val="nil"/>
            </w:tcBorders>
            <w:tcMar>
              <w:top w:w="54" w:type="dxa"/>
              <w:left w:w="54" w:type="dxa"/>
              <w:bottom w:w="54" w:type="dxa"/>
              <w:right w:w="54" w:type="dxa"/>
            </w:tcMar>
          </w:tcPr>
          <w:p w14:paraId="2CC774D0">
            <w:pPr>
              <w:pStyle w:val="3"/>
            </w:pPr>
            <w:r>
              <w:rPr>
                <w:rFonts w:eastAsia="Arial Unicode MS" w:cs="Arial Unicode MS"/>
              </w:rPr>
              <w:t>Active industry engagement; healthy labor market.</w:t>
            </w:r>
          </w:p>
        </w:tc>
      </w:tr>
      <w:tr w14:paraId="66077884">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937" w:hRule="atLeast"/>
        </w:trPr>
        <w:tc>
          <w:tcPr>
            <w:tcW w:w="1791" w:type="dxa"/>
            <w:tcBorders>
              <w:top w:val="dotted" w:color="919191" w:sz="6" w:space="0"/>
              <w:left w:val="nil"/>
              <w:bottom w:val="dotted" w:color="919191" w:sz="6" w:space="0"/>
              <w:right w:val="single" w:color="919191" w:sz="2" w:space="0"/>
            </w:tcBorders>
            <w:shd w:val="clear" w:color="auto" w:fill="EEEEEE"/>
            <w:tcMar>
              <w:top w:w="54" w:type="dxa"/>
              <w:left w:w="54" w:type="dxa"/>
              <w:bottom w:w="54" w:type="dxa"/>
              <w:right w:w="54" w:type="dxa"/>
            </w:tcMar>
          </w:tcPr>
          <w:p w14:paraId="7347DD70">
            <w:pPr>
              <w:pStyle w:val="3"/>
            </w:pPr>
            <w:r>
              <w:rPr>
                <w:rFonts w:eastAsia="Arial Unicode MS" w:cs="Arial Unicode MS"/>
              </w:rPr>
              <w:t>4.3 Inclusive and equitable access to improved facilities</w:t>
            </w:r>
          </w:p>
        </w:tc>
        <w:tc>
          <w:tcPr>
            <w:tcW w:w="3351"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2707108B">
            <w:pPr>
              <w:pStyle w:val="3"/>
              <w:numPr>
                <w:ilvl w:val="1"/>
                <w:numId w:val="109"/>
              </w:numPr>
            </w:pPr>
            <w:r>
              <w:rPr>
                <w:rFonts w:eastAsia="Arial Unicode MS" w:cs="Arial Unicode MS"/>
                <w:lang w:val="en-US"/>
              </w:rPr>
              <w:t>% of new/renovated facilities meeting accessibility standards</w:t>
            </w:r>
          </w:p>
          <w:p w14:paraId="55126BE7">
            <w:pPr>
              <w:pStyle w:val="3"/>
              <w:numPr>
                <w:ilvl w:val="1"/>
                <w:numId w:val="109"/>
              </w:numPr>
            </w:pPr>
            <w:r>
              <w:rPr>
                <w:rFonts w:eastAsia="Arial Unicode MS" w:cs="Arial Unicode MS"/>
                <w:lang w:val="en-US"/>
              </w:rPr>
              <w:t>proportion of female/low-income/students with disabilities</w:t>
            </w:r>
          </w:p>
        </w:tc>
        <w:tc>
          <w:tcPr>
            <w:tcW w:w="2226"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3EC25ABB">
            <w:pPr>
              <w:pStyle w:val="3"/>
              <w:numPr>
                <w:ilvl w:val="1"/>
                <w:numId w:val="110"/>
              </w:numPr>
            </w:pPr>
            <w:r>
              <w:rPr>
                <w:rFonts w:eastAsia="Arial Unicode MS" w:cs="Arial Unicode MS"/>
                <w:lang w:val="en-US"/>
              </w:rPr>
              <w:t>Accessibility audits</w:t>
            </w:r>
          </w:p>
          <w:p w14:paraId="411F7B4B">
            <w:pPr>
              <w:pStyle w:val="3"/>
              <w:numPr>
                <w:ilvl w:val="1"/>
                <w:numId w:val="110"/>
              </w:numPr>
            </w:pPr>
            <w:r>
              <w:rPr>
                <w:rFonts w:eastAsia="Arial Unicode MS" w:cs="Arial Unicode MS"/>
                <w:lang w:val="en-US"/>
              </w:rPr>
              <w:t>Enrollment/aid records</w:t>
            </w:r>
          </w:p>
          <w:p w14:paraId="6FC9D166">
            <w:pPr>
              <w:pStyle w:val="3"/>
              <w:numPr>
                <w:ilvl w:val="1"/>
                <w:numId w:val="110"/>
              </w:numPr>
            </w:pPr>
            <w:r>
              <w:rPr>
                <w:rFonts w:eastAsia="Arial Unicode MS" w:cs="Arial Unicode MS"/>
                <w:lang w:val="en-US"/>
              </w:rPr>
              <w:t>Safety reports</w:t>
            </w:r>
          </w:p>
          <w:p w14:paraId="2C731823">
            <w:pPr>
              <w:pStyle w:val="3"/>
              <w:numPr>
                <w:ilvl w:val="1"/>
                <w:numId w:val="110"/>
              </w:numPr>
            </w:pPr>
            <w:r>
              <w:rPr>
                <w:rFonts w:eastAsia="Arial Unicode MS" w:cs="Arial Unicode MS"/>
                <w:lang w:val="en-US"/>
              </w:rPr>
              <w:t>Inclusion surveys.</w:t>
            </w:r>
          </w:p>
        </w:tc>
        <w:tc>
          <w:tcPr>
            <w:tcW w:w="1989"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54" w:type="dxa"/>
            </w:tcMar>
          </w:tcPr>
          <w:p w14:paraId="5671C7B6">
            <w:pPr>
              <w:pStyle w:val="3"/>
            </w:pPr>
            <w:r>
              <w:rPr>
                <w:rFonts w:eastAsia="Arial Unicode MS" w:cs="Arial Unicode MS"/>
              </w:rPr>
              <w:t>Institutional policies and resources support inclusion.</w:t>
            </w:r>
          </w:p>
        </w:tc>
      </w:tr>
      <w:tr w14:paraId="5C9C13C2">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09" w:hRule="atLeast"/>
        </w:trPr>
        <w:tc>
          <w:tcPr>
            <w:tcW w:w="1791" w:type="dxa"/>
            <w:tcBorders>
              <w:top w:val="dotted" w:color="919191" w:sz="6" w:space="0"/>
              <w:left w:val="nil"/>
              <w:bottom w:val="dotted" w:color="919191" w:sz="6" w:space="0"/>
              <w:right w:val="single" w:color="919191" w:sz="2" w:space="0"/>
            </w:tcBorders>
            <w:shd w:val="clear" w:color="auto" w:fill="E1E1E1"/>
            <w:tcMar>
              <w:top w:w="54" w:type="dxa"/>
              <w:left w:w="54" w:type="dxa"/>
              <w:bottom w:w="54" w:type="dxa"/>
              <w:right w:w="54" w:type="dxa"/>
            </w:tcMar>
          </w:tcPr>
          <w:p w14:paraId="47A75345">
            <w:pPr>
              <w:pStyle w:val="3"/>
            </w:pPr>
            <w:r>
              <w:rPr>
                <w:rFonts w:eastAsia="Arial Unicode MS" w:cs="Arial Unicode MS"/>
              </w:rPr>
              <w:t>Output</w:t>
            </w:r>
          </w:p>
        </w:tc>
        <w:tc>
          <w:tcPr>
            <w:tcW w:w="3351" w:type="dxa"/>
            <w:tcBorders>
              <w:top w:val="dotted" w:color="919191" w:sz="6" w:space="0"/>
              <w:left w:val="single" w:color="919191" w:sz="2" w:space="0"/>
              <w:bottom w:val="dotted" w:color="919191" w:sz="6" w:space="0"/>
              <w:right w:val="single" w:color="919191" w:sz="2" w:space="0"/>
            </w:tcBorders>
            <w:shd w:val="clear" w:color="auto" w:fill="E1E1E1"/>
            <w:tcMar>
              <w:top w:w="54" w:type="dxa"/>
              <w:left w:w="54" w:type="dxa"/>
              <w:bottom w:w="54" w:type="dxa"/>
              <w:right w:w="54" w:type="dxa"/>
            </w:tcMar>
          </w:tcPr>
          <w:p w14:paraId="79324672"/>
        </w:tc>
        <w:tc>
          <w:tcPr>
            <w:tcW w:w="2226" w:type="dxa"/>
            <w:tcBorders>
              <w:top w:val="dotted" w:color="919191" w:sz="6" w:space="0"/>
              <w:left w:val="single" w:color="919191" w:sz="2" w:space="0"/>
              <w:bottom w:val="dotted" w:color="919191" w:sz="6" w:space="0"/>
              <w:right w:val="single" w:color="919191" w:sz="2" w:space="0"/>
            </w:tcBorders>
            <w:shd w:val="clear" w:color="auto" w:fill="E1E1E1"/>
            <w:tcMar>
              <w:top w:w="54" w:type="dxa"/>
              <w:left w:w="54" w:type="dxa"/>
              <w:bottom w:w="54" w:type="dxa"/>
              <w:right w:w="54" w:type="dxa"/>
            </w:tcMar>
          </w:tcPr>
          <w:p w14:paraId="18C56F17"/>
        </w:tc>
        <w:tc>
          <w:tcPr>
            <w:tcW w:w="1989" w:type="dxa"/>
            <w:tcBorders>
              <w:top w:val="dotted" w:color="919191" w:sz="6" w:space="0"/>
              <w:left w:val="single" w:color="919191" w:sz="2" w:space="0"/>
              <w:bottom w:val="dotted" w:color="919191" w:sz="6" w:space="0"/>
              <w:right w:val="nil"/>
            </w:tcBorders>
            <w:shd w:val="clear" w:color="auto" w:fill="E1E1E1"/>
            <w:tcMar>
              <w:top w:w="54" w:type="dxa"/>
              <w:left w:w="54" w:type="dxa"/>
              <w:bottom w:w="54" w:type="dxa"/>
              <w:right w:w="54" w:type="dxa"/>
            </w:tcMar>
          </w:tcPr>
          <w:p w14:paraId="69437994"/>
        </w:tc>
      </w:tr>
      <w:tr w14:paraId="501B745C">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863" w:hRule="atLeast"/>
        </w:trPr>
        <w:tc>
          <w:tcPr>
            <w:tcW w:w="1791" w:type="dxa"/>
            <w:tcBorders>
              <w:top w:val="dotted" w:color="919191" w:sz="6" w:space="0"/>
              <w:left w:val="nil"/>
              <w:bottom w:val="dotted" w:color="919191" w:sz="6" w:space="0"/>
              <w:right w:val="single" w:color="919191" w:sz="2" w:space="0"/>
            </w:tcBorders>
            <w:shd w:val="clear" w:color="auto" w:fill="EEEEEE"/>
            <w:tcMar>
              <w:top w:w="54" w:type="dxa"/>
              <w:left w:w="54" w:type="dxa"/>
              <w:bottom w:w="54" w:type="dxa"/>
              <w:right w:w="54" w:type="dxa"/>
            </w:tcMar>
          </w:tcPr>
          <w:p w14:paraId="6AAED004">
            <w:pPr>
              <w:pStyle w:val="3"/>
            </w:pPr>
            <w:r>
              <w:rPr>
                <w:rFonts w:eastAsia="Arial Unicode MS" w:cs="Arial Unicode MS"/>
              </w:rPr>
              <w:t>4.5 Expanded learning spaces and facilities</w:t>
            </w:r>
          </w:p>
        </w:tc>
        <w:tc>
          <w:tcPr>
            <w:tcW w:w="3351"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4F6F21CA">
            <w:pPr>
              <w:pStyle w:val="3"/>
              <w:numPr>
                <w:ilvl w:val="1"/>
                <w:numId w:val="111"/>
              </w:numPr>
            </w:pPr>
            <w:r>
              <w:rPr>
                <w:rFonts w:eastAsia="Arial Unicode MS" w:cs="Arial Unicode MS"/>
                <w:lang w:val="en-US"/>
              </w:rPr>
              <w:t xml:space="preserve">Number of newly constructed and renovated classrooms, hostels, and recreational facilities that increase student intake. </w:t>
            </w:r>
          </w:p>
          <w:p w14:paraId="75701148">
            <w:pPr>
              <w:pStyle w:val="3"/>
              <w:numPr>
                <w:ilvl w:val="1"/>
                <w:numId w:val="111"/>
              </w:numPr>
            </w:pPr>
            <w:r>
              <w:rPr>
                <w:rFonts w:eastAsia="Arial Unicode MS" w:cs="Arial Unicode MS"/>
                <w:lang w:val="en-US"/>
              </w:rPr>
              <w:t>Percentage increase in student capacity.</w:t>
            </w:r>
          </w:p>
        </w:tc>
        <w:tc>
          <w:tcPr>
            <w:tcW w:w="2226"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6753DB42">
            <w:pPr>
              <w:pStyle w:val="3"/>
              <w:numPr>
                <w:ilvl w:val="1"/>
                <w:numId w:val="112"/>
              </w:numPr>
            </w:pPr>
            <w:r>
              <w:rPr>
                <w:rFonts w:eastAsia="Arial Unicode MS" w:cs="Arial Unicode MS"/>
                <w:lang w:val="en-US"/>
              </w:rPr>
              <w:t>Facility completion reports</w:t>
            </w:r>
          </w:p>
          <w:p w14:paraId="170F6698">
            <w:pPr>
              <w:pStyle w:val="3"/>
              <w:numPr>
                <w:ilvl w:val="1"/>
                <w:numId w:val="112"/>
              </w:numPr>
            </w:pPr>
            <w:r>
              <w:rPr>
                <w:rFonts w:eastAsia="Arial Unicode MS" w:cs="Arial Unicode MS"/>
                <w:lang w:val="nl-NL"/>
              </w:rPr>
              <w:t>Enrollment data.</w:t>
            </w:r>
          </w:p>
        </w:tc>
        <w:tc>
          <w:tcPr>
            <w:tcW w:w="1989"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54" w:type="dxa"/>
            </w:tcMar>
          </w:tcPr>
          <w:p w14:paraId="44DF931C">
            <w:pPr>
              <w:pStyle w:val="3"/>
            </w:pPr>
            <w:r>
              <w:rPr>
                <w:rFonts w:eastAsia="Arial Unicode MS" w:cs="Arial Unicode MS"/>
              </w:rPr>
              <w:t>Sufficient funding and regulatory approval.</w:t>
            </w:r>
          </w:p>
        </w:tc>
      </w:tr>
      <w:tr w14:paraId="2848B245">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577" w:hRule="atLeast"/>
        </w:trPr>
        <w:tc>
          <w:tcPr>
            <w:tcW w:w="1791" w:type="dxa"/>
            <w:tcBorders>
              <w:top w:val="dotted" w:color="919191" w:sz="6" w:space="0"/>
              <w:left w:val="nil"/>
              <w:bottom w:val="dotted" w:color="919191" w:sz="6" w:space="0"/>
              <w:right w:val="single" w:color="919191" w:sz="2" w:space="0"/>
            </w:tcBorders>
            <w:tcMar>
              <w:top w:w="54" w:type="dxa"/>
              <w:left w:w="54" w:type="dxa"/>
              <w:bottom w:w="54" w:type="dxa"/>
              <w:right w:w="54" w:type="dxa"/>
            </w:tcMar>
          </w:tcPr>
          <w:p w14:paraId="484BC96F">
            <w:pPr>
              <w:pStyle w:val="3"/>
            </w:pPr>
            <w:r>
              <w:rPr>
                <w:rFonts w:eastAsia="Arial Unicode MS" w:cs="Arial Unicode MS"/>
              </w:rPr>
              <w:t>4.6 Scholarships and financial aid programs</w:t>
            </w:r>
          </w:p>
        </w:tc>
        <w:tc>
          <w:tcPr>
            <w:tcW w:w="3351"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1E7B8343">
            <w:pPr>
              <w:pStyle w:val="3"/>
              <w:numPr>
                <w:ilvl w:val="1"/>
                <w:numId w:val="113"/>
              </w:numPr>
            </w:pPr>
            <w:r>
              <w:rPr>
                <w:rFonts w:eastAsia="Arial Unicode MS" w:cs="Arial Unicode MS"/>
                <w:lang w:val="en-US"/>
              </w:rPr>
              <w:t>Number of scholarships awarded</w:t>
            </w:r>
          </w:p>
          <w:p w14:paraId="03677650">
            <w:pPr>
              <w:pStyle w:val="3"/>
              <w:numPr>
                <w:ilvl w:val="1"/>
                <w:numId w:val="113"/>
              </w:numPr>
            </w:pPr>
            <w:r>
              <w:rPr>
                <w:rFonts w:eastAsia="Arial Unicode MS" w:cs="Arial Unicode MS"/>
                <w:lang w:val="en-US"/>
              </w:rPr>
              <w:t>Percentage of students benefiting.</w:t>
            </w:r>
          </w:p>
        </w:tc>
        <w:tc>
          <w:tcPr>
            <w:tcW w:w="2226"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33328DCA">
            <w:pPr>
              <w:pStyle w:val="3"/>
              <w:numPr>
                <w:ilvl w:val="1"/>
                <w:numId w:val="114"/>
              </w:numPr>
            </w:pPr>
            <w:r>
              <w:rPr>
                <w:rFonts w:eastAsia="Arial Unicode MS" w:cs="Arial Unicode MS"/>
                <w:lang w:val="en-US"/>
              </w:rPr>
              <w:t>Scholarship records</w:t>
            </w:r>
          </w:p>
          <w:p w14:paraId="35765719">
            <w:pPr>
              <w:pStyle w:val="3"/>
              <w:numPr>
                <w:ilvl w:val="1"/>
                <w:numId w:val="114"/>
              </w:numPr>
            </w:pPr>
            <w:r>
              <w:rPr>
                <w:rFonts w:eastAsia="Arial Unicode MS" w:cs="Arial Unicode MS"/>
                <w:lang w:val="fr-FR"/>
              </w:rPr>
              <w:t>Student enrollment data.</w:t>
            </w:r>
          </w:p>
        </w:tc>
        <w:tc>
          <w:tcPr>
            <w:tcW w:w="1989" w:type="dxa"/>
            <w:tcBorders>
              <w:top w:val="dotted" w:color="919191" w:sz="6" w:space="0"/>
              <w:left w:val="single" w:color="919191" w:sz="2" w:space="0"/>
              <w:bottom w:val="dotted" w:color="919191" w:sz="6" w:space="0"/>
              <w:right w:val="nil"/>
            </w:tcBorders>
            <w:tcMar>
              <w:top w:w="54" w:type="dxa"/>
              <w:left w:w="54" w:type="dxa"/>
              <w:bottom w:w="54" w:type="dxa"/>
              <w:right w:w="54" w:type="dxa"/>
            </w:tcMar>
          </w:tcPr>
          <w:p w14:paraId="17F83652">
            <w:pPr>
              <w:pStyle w:val="3"/>
            </w:pPr>
            <w:r>
              <w:rPr>
                <w:rFonts w:eastAsia="Arial Unicode MS" w:cs="Arial Unicode MS"/>
              </w:rPr>
              <w:t>Continued support from donors and partners.</w:t>
            </w:r>
          </w:p>
        </w:tc>
      </w:tr>
      <w:tr w14:paraId="0B2DFF79">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577" w:hRule="atLeast"/>
        </w:trPr>
        <w:tc>
          <w:tcPr>
            <w:tcW w:w="1791" w:type="dxa"/>
            <w:tcBorders>
              <w:top w:val="dotted" w:color="919191" w:sz="6" w:space="0"/>
              <w:left w:val="nil"/>
              <w:bottom w:val="dotted" w:color="919191" w:sz="6" w:space="0"/>
              <w:right w:val="single" w:color="919191" w:sz="2" w:space="0"/>
            </w:tcBorders>
            <w:shd w:val="clear" w:color="auto" w:fill="EEEEEE"/>
            <w:tcMar>
              <w:top w:w="54" w:type="dxa"/>
              <w:left w:w="54" w:type="dxa"/>
              <w:bottom w:w="54" w:type="dxa"/>
              <w:right w:w="54" w:type="dxa"/>
            </w:tcMar>
          </w:tcPr>
          <w:p w14:paraId="07EBC9AD">
            <w:pPr>
              <w:pStyle w:val="3"/>
            </w:pPr>
            <w:r>
              <w:rPr>
                <w:rFonts w:eastAsia="Arial Unicode MS" w:cs="Arial Unicode MS"/>
              </w:rPr>
              <w:t>4.7 Marketing and visibility initiatives</w:t>
            </w:r>
          </w:p>
        </w:tc>
        <w:tc>
          <w:tcPr>
            <w:tcW w:w="3351"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7BA4A5B2">
            <w:pPr>
              <w:pStyle w:val="3"/>
              <w:numPr>
                <w:ilvl w:val="1"/>
                <w:numId w:val="115"/>
              </w:numPr>
            </w:pPr>
            <w:r>
              <w:rPr>
                <w:rFonts w:eastAsia="Arial Unicode MS" w:cs="Arial Unicode MS"/>
                <w:lang w:val="en-US"/>
              </w:rPr>
              <w:t>number of promotional activities, targeted at attracting local and  international students</w:t>
            </w:r>
          </w:p>
          <w:p w14:paraId="7675922D">
            <w:pPr>
              <w:pStyle w:val="3"/>
              <w:numPr>
                <w:ilvl w:val="1"/>
                <w:numId w:val="115"/>
              </w:numPr>
            </w:pPr>
            <w:r>
              <w:rPr>
                <w:rFonts w:eastAsia="Arial Unicode MS" w:cs="Arial Unicode MS"/>
                <w:lang w:val="en-US"/>
              </w:rPr>
              <w:t>increase in applications and media coverage.</w:t>
            </w:r>
          </w:p>
        </w:tc>
        <w:tc>
          <w:tcPr>
            <w:tcW w:w="2226"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1775B393">
            <w:pPr>
              <w:pStyle w:val="3"/>
              <w:numPr>
                <w:ilvl w:val="1"/>
                <w:numId w:val="116"/>
              </w:numPr>
            </w:pPr>
            <w:r>
              <w:rPr>
                <w:rFonts w:eastAsia="Arial Unicode MS" w:cs="Arial Unicode MS"/>
                <w:lang w:val="en-US"/>
              </w:rPr>
              <w:t>Marketing reports</w:t>
            </w:r>
          </w:p>
          <w:p w14:paraId="1976BF2F">
            <w:pPr>
              <w:pStyle w:val="3"/>
              <w:numPr>
                <w:ilvl w:val="1"/>
                <w:numId w:val="116"/>
              </w:numPr>
            </w:pPr>
            <w:r>
              <w:rPr>
                <w:rFonts w:eastAsia="Arial Unicode MS" w:cs="Arial Unicode MS"/>
                <w:lang w:val="en-US"/>
              </w:rPr>
              <w:t>Admission statisticsWebsite analytics.</w:t>
            </w:r>
          </w:p>
        </w:tc>
        <w:tc>
          <w:tcPr>
            <w:tcW w:w="1989"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54" w:type="dxa"/>
            </w:tcMar>
          </w:tcPr>
          <w:p w14:paraId="7B912B10">
            <w:pPr>
              <w:pStyle w:val="3"/>
            </w:pPr>
            <w:r>
              <w:rPr>
                <w:rFonts w:eastAsia="Arial Unicode MS" w:cs="Arial Unicode MS"/>
              </w:rPr>
              <w:t>Positive institutional reputation and strong branding strategy.</w:t>
            </w:r>
          </w:p>
        </w:tc>
      </w:tr>
      <w:tr w14:paraId="44D08BD3">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462" w:hRule="atLeast"/>
        </w:trPr>
        <w:tc>
          <w:tcPr>
            <w:tcW w:w="1791" w:type="dxa"/>
            <w:tcBorders>
              <w:top w:val="dotted" w:color="919191" w:sz="6" w:space="0"/>
              <w:left w:val="nil"/>
              <w:bottom w:val="nil"/>
              <w:right w:val="single" w:color="919191" w:sz="2" w:space="0"/>
            </w:tcBorders>
            <w:tcMar>
              <w:top w:w="54" w:type="dxa"/>
              <w:left w:w="54" w:type="dxa"/>
              <w:bottom w:w="54" w:type="dxa"/>
              <w:right w:w="54" w:type="dxa"/>
            </w:tcMar>
          </w:tcPr>
          <w:p w14:paraId="7EAE85C4">
            <w:pPr>
              <w:pStyle w:val="3"/>
            </w:pPr>
            <w:r>
              <w:rPr>
                <w:rFonts w:eastAsia="Arial Unicode MS" w:cs="Arial Unicode MS"/>
              </w:rPr>
              <w:t>4.8 Strengthened industry and international partnerships</w:t>
            </w:r>
          </w:p>
        </w:tc>
        <w:tc>
          <w:tcPr>
            <w:tcW w:w="3351" w:type="dxa"/>
            <w:tcBorders>
              <w:top w:val="dotted" w:color="919191" w:sz="6" w:space="0"/>
              <w:left w:val="single" w:color="919191" w:sz="2" w:space="0"/>
              <w:bottom w:val="nil"/>
              <w:right w:val="single" w:color="919191" w:sz="2" w:space="0"/>
            </w:tcBorders>
            <w:tcMar>
              <w:top w:w="54" w:type="dxa"/>
              <w:left w:w="54" w:type="dxa"/>
              <w:bottom w:w="54" w:type="dxa"/>
              <w:right w:w="54" w:type="dxa"/>
            </w:tcMar>
          </w:tcPr>
          <w:p w14:paraId="084EB4FB">
            <w:pPr>
              <w:pStyle w:val="3"/>
              <w:numPr>
                <w:ilvl w:val="1"/>
                <w:numId w:val="117"/>
              </w:numPr>
            </w:pPr>
            <w:r>
              <w:rPr>
                <w:rFonts w:eastAsia="Arial Unicode MS" w:cs="Arial Unicode MS"/>
                <w:lang w:val="en-US"/>
              </w:rPr>
              <w:t>Number of Memoranda of Understanding (MoUs) signed</w:t>
            </w:r>
          </w:p>
          <w:p w14:paraId="4E81AF90">
            <w:pPr>
              <w:pStyle w:val="3"/>
              <w:numPr>
                <w:ilvl w:val="1"/>
                <w:numId w:val="117"/>
              </w:numPr>
            </w:pPr>
            <w:r>
              <w:rPr>
                <w:rFonts w:eastAsia="Arial Unicode MS" w:cs="Arial Unicode MS"/>
                <w:lang w:val="en-US"/>
              </w:rPr>
              <w:t>Number of exchange programs or internships facilitated.</w:t>
            </w:r>
          </w:p>
        </w:tc>
        <w:tc>
          <w:tcPr>
            <w:tcW w:w="2226" w:type="dxa"/>
            <w:tcBorders>
              <w:top w:val="dotted" w:color="919191" w:sz="6" w:space="0"/>
              <w:left w:val="single" w:color="919191" w:sz="2" w:space="0"/>
              <w:bottom w:val="nil"/>
              <w:right w:val="single" w:color="919191" w:sz="2" w:space="0"/>
            </w:tcBorders>
            <w:tcMar>
              <w:top w:w="54" w:type="dxa"/>
              <w:left w:w="54" w:type="dxa"/>
              <w:bottom w:w="54" w:type="dxa"/>
              <w:right w:w="54" w:type="dxa"/>
            </w:tcMar>
          </w:tcPr>
          <w:p w14:paraId="603911DC">
            <w:pPr>
              <w:pStyle w:val="3"/>
              <w:numPr>
                <w:ilvl w:val="1"/>
                <w:numId w:val="118"/>
              </w:numPr>
            </w:pPr>
            <w:r>
              <w:rPr>
                <w:rFonts w:eastAsia="Arial Unicode MS" w:cs="Arial Unicode MS"/>
                <w:lang w:val="en-US"/>
              </w:rPr>
              <w:t>MoU documents,</w:t>
            </w:r>
          </w:p>
          <w:p w14:paraId="086F0A01">
            <w:pPr>
              <w:pStyle w:val="3"/>
              <w:numPr>
                <w:ilvl w:val="1"/>
                <w:numId w:val="118"/>
              </w:numPr>
            </w:pPr>
            <w:r>
              <w:rPr>
                <w:rFonts w:eastAsia="Arial Unicode MS" w:cs="Arial Unicode MS"/>
                <w:lang w:val="en-US"/>
              </w:rPr>
              <w:t>internship reports</w:t>
            </w:r>
          </w:p>
          <w:p w14:paraId="26DF7D1D">
            <w:pPr>
              <w:pStyle w:val="3"/>
              <w:numPr>
                <w:ilvl w:val="1"/>
                <w:numId w:val="118"/>
              </w:numPr>
            </w:pPr>
            <w:r>
              <w:rPr>
                <w:rFonts w:eastAsia="Arial Unicode MS" w:cs="Arial Unicode MS"/>
                <w:lang w:val="en-US"/>
              </w:rPr>
              <w:t>partnership agreements.</w:t>
            </w:r>
          </w:p>
        </w:tc>
        <w:tc>
          <w:tcPr>
            <w:tcW w:w="1989" w:type="dxa"/>
            <w:tcBorders>
              <w:top w:val="dotted" w:color="919191" w:sz="6" w:space="0"/>
              <w:left w:val="single" w:color="919191" w:sz="2" w:space="0"/>
              <w:bottom w:val="nil"/>
              <w:right w:val="nil"/>
            </w:tcBorders>
            <w:tcMar>
              <w:top w:w="54" w:type="dxa"/>
              <w:left w:w="54" w:type="dxa"/>
              <w:bottom w:w="54" w:type="dxa"/>
              <w:right w:w="54" w:type="dxa"/>
            </w:tcMar>
          </w:tcPr>
          <w:p w14:paraId="66CF9694">
            <w:pPr>
              <w:pStyle w:val="3"/>
            </w:pPr>
            <w:r>
              <w:rPr>
                <w:rFonts w:eastAsia="Arial Unicode MS" w:cs="Arial Unicode MS"/>
              </w:rPr>
              <w:t>Willingness of partners to collaborate.</w:t>
            </w:r>
          </w:p>
        </w:tc>
      </w:tr>
    </w:tbl>
    <w:p w14:paraId="0F90F240">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46AA377F">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0B1FF076">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635892DE">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lang w:eastAsia="zh-CN"/>
        </w:rPr>
      </w:pPr>
    </w:p>
    <w:p w14:paraId="58072ABC">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lang w:eastAsia="zh-CN"/>
        </w:rPr>
      </w:pPr>
    </w:p>
    <w:p w14:paraId="25FF5134">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lang w:eastAsia="zh-CN"/>
        </w:rPr>
      </w:pPr>
    </w:p>
    <w:p w14:paraId="4EDB08BD">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lang w:eastAsia="zh-CN"/>
        </w:rPr>
      </w:pPr>
    </w:p>
    <w:p w14:paraId="43EB1420">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lang w:eastAsia="zh-CN"/>
        </w:rPr>
      </w:pPr>
    </w:p>
    <w:p w14:paraId="2C6FE4D2">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lang w:eastAsia="zh-CN"/>
        </w:rPr>
      </w:pPr>
    </w:p>
    <w:p w14:paraId="5BAA13EB">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lang w:eastAsia="zh-CN"/>
        </w:rPr>
      </w:pPr>
    </w:p>
    <w:p w14:paraId="26CB1117">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lang w:eastAsia="zh-CN"/>
        </w:rPr>
      </w:pPr>
    </w:p>
    <w:p w14:paraId="575B565A">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lang w:eastAsia="zh-CN"/>
        </w:rPr>
      </w:pPr>
    </w:p>
    <w:p w14:paraId="660CA0F8">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lang w:eastAsia="zh-CN"/>
        </w:rPr>
      </w:pPr>
    </w:p>
    <w:p w14:paraId="0D8847FA">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lang w:eastAsia="zh-CN"/>
        </w:rPr>
      </w:pPr>
    </w:p>
    <w:p w14:paraId="403DFB4A">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24DE2BF0">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r>
        <w:rPr>
          <w:rFonts w:ascii="Times New Roman" w:hAnsi="Times New Roman"/>
          <w:sz w:val="24"/>
          <w:szCs w:val="24"/>
          <w:lang w:val="en-US"/>
        </w:rPr>
        <w:t>Table 5. Impacts</w:t>
      </w:r>
    </w:p>
    <w:p w14:paraId="7A4858CC">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tbl>
      <w:tblPr>
        <w:tblStyle w:val="6"/>
        <w:tblW w:w="9500" w:type="dxa"/>
        <w:tblInd w:w="108" w:type="dxa"/>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Layout w:type="fixed"/>
        <w:tblCellMar>
          <w:top w:w="0" w:type="dxa"/>
          <w:left w:w="108" w:type="dxa"/>
          <w:bottom w:w="0" w:type="dxa"/>
          <w:right w:w="108" w:type="dxa"/>
        </w:tblCellMar>
      </w:tblPr>
      <w:tblGrid>
        <w:gridCol w:w="1985"/>
        <w:gridCol w:w="2594"/>
        <w:gridCol w:w="2505"/>
        <w:gridCol w:w="2416"/>
      </w:tblGrid>
      <w:tr w14:paraId="049DE17F">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529" w:hRule="atLeast"/>
        </w:trPr>
        <w:tc>
          <w:tcPr>
            <w:tcW w:w="1986" w:type="dxa"/>
            <w:tcBorders>
              <w:top w:val="nil"/>
              <w:left w:val="nil"/>
              <w:bottom w:val="dotted" w:color="919191" w:sz="6" w:space="0"/>
              <w:right w:val="single" w:color="919191" w:sz="2" w:space="0"/>
            </w:tcBorders>
            <w:shd w:val="clear" w:color="auto" w:fill="B4B4B4"/>
            <w:tcMar>
              <w:top w:w="54" w:type="dxa"/>
              <w:left w:w="54" w:type="dxa"/>
              <w:bottom w:w="54" w:type="dxa"/>
              <w:right w:w="54" w:type="dxa"/>
            </w:tcMar>
          </w:tcPr>
          <w:p w14:paraId="4483764E">
            <w:pPr>
              <w:pStyle w:val="3"/>
            </w:pPr>
            <w:r>
              <w:rPr>
                <w:rFonts w:ascii="Helvetica Neue" w:hAnsi="Helvetica Neue"/>
                <w:b/>
                <w:bCs/>
              </w:rPr>
              <w:t>Impact</w:t>
            </w:r>
          </w:p>
        </w:tc>
        <w:tc>
          <w:tcPr>
            <w:tcW w:w="2593" w:type="dxa"/>
            <w:tcBorders>
              <w:top w:val="nil"/>
              <w:left w:val="single" w:color="919191" w:sz="2" w:space="0"/>
              <w:bottom w:val="dotted" w:color="919191" w:sz="6" w:space="0"/>
              <w:right w:val="single" w:color="919191" w:sz="2" w:space="0"/>
            </w:tcBorders>
            <w:shd w:val="clear" w:color="auto" w:fill="B4B4B4"/>
            <w:tcMar>
              <w:top w:w="54" w:type="dxa"/>
              <w:left w:w="54" w:type="dxa"/>
              <w:bottom w:w="54" w:type="dxa"/>
              <w:right w:w="54" w:type="dxa"/>
            </w:tcMar>
          </w:tcPr>
          <w:p w14:paraId="025E7345">
            <w:pPr>
              <w:pStyle w:val="3"/>
            </w:pPr>
            <w:r>
              <w:rPr>
                <w:rFonts w:ascii="Helvetica Neue" w:hAnsi="Helvetica Neue"/>
                <w:b/>
                <w:bCs/>
              </w:rPr>
              <w:t>Indicators and Metrics</w:t>
            </w:r>
          </w:p>
        </w:tc>
        <w:tc>
          <w:tcPr>
            <w:tcW w:w="2504" w:type="dxa"/>
            <w:tcBorders>
              <w:top w:val="nil"/>
              <w:left w:val="single" w:color="919191" w:sz="2" w:space="0"/>
              <w:bottom w:val="dotted" w:color="919191" w:sz="6" w:space="0"/>
              <w:right w:val="single" w:color="919191" w:sz="2" w:space="0"/>
            </w:tcBorders>
            <w:shd w:val="clear" w:color="auto" w:fill="B4B4B4"/>
            <w:tcMar>
              <w:top w:w="54" w:type="dxa"/>
              <w:left w:w="54" w:type="dxa"/>
              <w:bottom w:w="54" w:type="dxa"/>
              <w:right w:w="54" w:type="dxa"/>
            </w:tcMar>
          </w:tcPr>
          <w:p w14:paraId="7C78C4E0">
            <w:pPr>
              <w:pStyle w:val="3"/>
            </w:pPr>
            <w:r>
              <w:rPr>
                <w:rFonts w:ascii="Helvetica Neue" w:hAnsi="Helvetica Neue"/>
                <w:b/>
                <w:bCs/>
              </w:rPr>
              <w:t>Means of Verification</w:t>
            </w:r>
          </w:p>
        </w:tc>
        <w:tc>
          <w:tcPr>
            <w:tcW w:w="2415" w:type="dxa"/>
            <w:tcBorders>
              <w:top w:val="nil"/>
              <w:left w:val="single" w:color="919191" w:sz="2" w:space="0"/>
              <w:bottom w:val="dotted" w:color="919191" w:sz="6" w:space="0"/>
              <w:right w:val="nil"/>
            </w:tcBorders>
            <w:shd w:val="clear" w:color="auto" w:fill="B4B4B4"/>
            <w:tcMar>
              <w:top w:w="54" w:type="dxa"/>
              <w:left w:w="54" w:type="dxa"/>
              <w:bottom w:w="54" w:type="dxa"/>
              <w:right w:w="54" w:type="dxa"/>
            </w:tcMar>
          </w:tcPr>
          <w:p w14:paraId="4025C907">
            <w:pPr>
              <w:pStyle w:val="3"/>
            </w:pPr>
            <w:r>
              <w:rPr>
                <w:rFonts w:ascii="Helvetica Neue" w:hAnsi="Helvetica Neue"/>
                <w:b/>
                <w:bCs/>
              </w:rPr>
              <w:t>Assumptions for the Objective</w:t>
            </w:r>
          </w:p>
        </w:tc>
      </w:tr>
      <w:tr w14:paraId="264C5715">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257" w:hRule="atLeast"/>
        </w:trPr>
        <w:tc>
          <w:tcPr>
            <w:tcW w:w="1986" w:type="dxa"/>
            <w:tcBorders>
              <w:top w:val="dotted" w:color="919191" w:sz="6" w:space="0"/>
              <w:left w:val="nil"/>
              <w:bottom w:val="dotted" w:color="919191" w:sz="6" w:space="0"/>
              <w:right w:val="single" w:color="919191" w:sz="2" w:space="0"/>
            </w:tcBorders>
            <w:shd w:val="clear" w:color="auto" w:fill="EEEEEE"/>
            <w:tcMar>
              <w:top w:w="54" w:type="dxa"/>
              <w:left w:w="54" w:type="dxa"/>
              <w:bottom w:w="54" w:type="dxa"/>
              <w:right w:w="54" w:type="dxa"/>
            </w:tcMar>
          </w:tcPr>
          <w:p w14:paraId="37E07158">
            <w:pPr>
              <w:pStyle w:val="3"/>
            </w:pPr>
            <w:r>
              <w:rPr>
                <w:rFonts w:eastAsia="Arial Unicode MS" w:cs="Arial Unicode MS"/>
              </w:rPr>
              <w:t>Enhanced institutional reputation and global competitiveness</w:t>
            </w:r>
          </w:p>
        </w:tc>
        <w:tc>
          <w:tcPr>
            <w:tcW w:w="2593"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38691D41">
            <w:pPr>
              <w:pStyle w:val="3"/>
              <w:numPr>
                <w:ilvl w:val="1"/>
                <w:numId w:val="119"/>
              </w:numPr>
            </w:pPr>
            <w:r>
              <w:rPr>
                <w:rFonts w:eastAsia="Arial Unicode MS" w:cs="Arial Unicode MS"/>
                <w:lang w:val="en-US"/>
              </w:rPr>
              <w:t>Rankings in national and international university rankings; Number of research grants and awards received; students acceptance rates; alumni success and career outcomes</w:t>
            </w:r>
          </w:p>
        </w:tc>
        <w:tc>
          <w:tcPr>
            <w:tcW w:w="2504"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339409C0">
            <w:pPr>
              <w:pStyle w:val="3"/>
            </w:pPr>
            <w:r>
              <w:rPr>
                <w:rFonts w:eastAsia="Arial Unicode MS" w:cs="Arial Unicode MS"/>
              </w:rPr>
              <w:t>Ranking reports (e.g., Times Higher Education, Webometrics, QS); grant and award records; admission/acceptance statistics; alumni tracer studies and career tracking reports.</w:t>
            </w:r>
          </w:p>
        </w:tc>
        <w:tc>
          <w:tcPr>
            <w:tcW w:w="2415"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54" w:type="dxa"/>
            </w:tcMar>
          </w:tcPr>
          <w:p w14:paraId="5146DAFF">
            <w:pPr>
              <w:pStyle w:val="3"/>
            </w:pPr>
            <w:r>
              <w:rPr>
                <w:rFonts w:eastAsia="Arial Unicode MS" w:cs="Arial Unicode MS"/>
              </w:rPr>
              <w:t>Global and national ranking systems remain credible and inclusive; alumni and employers provide reliable data; sustained institutional commitment to academic excellence.</w:t>
            </w:r>
          </w:p>
        </w:tc>
      </w:tr>
      <w:tr w14:paraId="418CF739">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970" w:hRule="atLeast"/>
        </w:trPr>
        <w:tc>
          <w:tcPr>
            <w:tcW w:w="1986" w:type="dxa"/>
            <w:tcBorders>
              <w:top w:val="dotted" w:color="919191" w:sz="6" w:space="0"/>
              <w:left w:val="nil"/>
              <w:bottom w:val="dotted" w:color="919191" w:sz="6" w:space="0"/>
              <w:right w:val="single" w:color="919191" w:sz="2" w:space="0"/>
            </w:tcBorders>
            <w:tcMar>
              <w:top w:w="54" w:type="dxa"/>
              <w:left w:w="54" w:type="dxa"/>
              <w:bottom w:w="54" w:type="dxa"/>
              <w:right w:w="54" w:type="dxa"/>
            </w:tcMar>
          </w:tcPr>
          <w:p w14:paraId="59B5906D">
            <w:pPr>
              <w:pStyle w:val="3"/>
            </w:pPr>
            <w:r>
              <w:rPr>
                <w:rFonts w:eastAsia="Arial Unicode MS" w:cs="Arial Unicode MS"/>
              </w:rPr>
              <w:t>Enhanced socio-economic development</w:t>
            </w:r>
          </w:p>
        </w:tc>
        <w:tc>
          <w:tcPr>
            <w:tcW w:w="2593"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25729099">
            <w:pPr>
              <w:pStyle w:val="3"/>
              <w:numPr>
                <w:ilvl w:val="1"/>
                <w:numId w:val="120"/>
              </w:numPr>
            </w:pPr>
            <w:r>
              <w:rPr>
                <w:rFonts w:eastAsia="Arial Unicode MS" w:cs="Arial Unicode MS"/>
                <w:lang w:val="en-US"/>
              </w:rPr>
              <w:t>Job creation and employment rates in the local community; business partnerships and collaborations, local investment and development initiatives</w:t>
            </w:r>
          </w:p>
        </w:tc>
        <w:tc>
          <w:tcPr>
            <w:tcW w:w="2504" w:type="dxa"/>
            <w:tcBorders>
              <w:top w:val="dotted" w:color="919191" w:sz="6" w:space="0"/>
              <w:left w:val="single" w:color="919191" w:sz="2" w:space="0"/>
              <w:bottom w:val="dotted" w:color="919191" w:sz="6" w:space="0"/>
              <w:right w:val="single" w:color="919191" w:sz="2" w:space="0"/>
            </w:tcBorders>
            <w:tcMar>
              <w:top w:w="54" w:type="dxa"/>
              <w:left w:w="54" w:type="dxa"/>
              <w:bottom w:w="54" w:type="dxa"/>
              <w:right w:w="54" w:type="dxa"/>
            </w:tcMar>
          </w:tcPr>
          <w:p w14:paraId="3721FFBF">
            <w:pPr>
              <w:pStyle w:val="3"/>
            </w:pPr>
            <w:r>
              <w:rPr>
                <w:rFonts w:eastAsia="Arial Unicode MS" w:cs="Arial Unicode MS"/>
              </w:rPr>
              <w:t>Government labor market statistics; university-industry partnership reports; Memoranda of Understanding (MoUs) with businesses; local economic development authority reports.</w:t>
            </w:r>
          </w:p>
        </w:tc>
        <w:tc>
          <w:tcPr>
            <w:tcW w:w="2415" w:type="dxa"/>
            <w:tcBorders>
              <w:top w:val="dotted" w:color="919191" w:sz="6" w:space="0"/>
              <w:left w:val="single" w:color="919191" w:sz="2" w:space="0"/>
              <w:bottom w:val="dotted" w:color="919191" w:sz="6" w:space="0"/>
              <w:right w:val="nil"/>
            </w:tcBorders>
            <w:tcMar>
              <w:top w:w="54" w:type="dxa"/>
              <w:left w:w="54" w:type="dxa"/>
              <w:bottom w:w="54" w:type="dxa"/>
              <w:right w:w="54" w:type="dxa"/>
            </w:tcMar>
          </w:tcPr>
          <w:p w14:paraId="2E5D04C6">
            <w:pPr>
              <w:pStyle w:val="3"/>
            </w:pPr>
            <w:r>
              <w:rPr>
                <w:rFonts w:eastAsia="Arial Unicode MS" w:cs="Arial Unicode MS"/>
              </w:rPr>
              <w:t>Supportive macroeconomic environment; private sector willing to collaborate; government policies encourage local development and innovation.</w:t>
            </w:r>
          </w:p>
        </w:tc>
      </w:tr>
      <w:tr w14:paraId="3F9CF991">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397" w:hRule="atLeast"/>
        </w:trPr>
        <w:tc>
          <w:tcPr>
            <w:tcW w:w="1986" w:type="dxa"/>
            <w:tcBorders>
              <w:top w:val="dotted" w:color="919191" w:sz="6" w:space="0"/>
              <w:left w:val="nil"/>
              <w:bottom w:val="dotted" w:color="919191" w:sz="6" w:space="0"/>
              <w:right w:val="single" w:color="919191" w:sz="2" w:space="0"/>
            </w:tcBorders>
            <w:shd w:val="clear" w:color="auto" w:fill="EEEEEE"/>
            <w:tcMar>
              <w:top w:w="54" w:type="dxa"/>
              <w:left w:w="54" w:type="dxa"/>
              <w:bottom w:w="54" w:type="dxa"/>
              <w:right w:w="54" w:type="dxa"/>
            </w:tcMar>
          </w:tcPr>
          <w:p w14:paraId="57F510A2">
            <w:pPr>
              <w:pStyle w:val="3"/>
            </w:pPr>
            <w:r>
              <w:rPr>
                <w:rFonts w:eastAsia="Arial Unicode MS" w:cs="Arial Unicode MS"/>
              </w:rPr>
              <w:t>Long-term financial stability</w:t>
            </w:r>
          </w:p>
        </w:tc>
        <w:tc>
          <w:tcPr>
            <w:tcW w:w="2593"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6F8C0944">
            <w:pPr>
              <w:pStyle w:val="3"/>
              <w:numPr>
                <w:ilvl w:val="1"/>
                <w:numId w:val="121"/>
              </w:numPr>
            </w:pPr>
            <w:r>
              <w:rPr>
                <w:rFonts w:eastAsia="Arial Unicode MS" w:cs="Arial Unicode MS"/>
                <w:lang w:val="en-US"/>
              </w:rPr>
              <w:t>Credit records, budget surplus and deficit trends; financial reserves and endowment growth; financial sustainability metrics; etc</w:t>
            </w:r>
          </w:p>
        </w:tc>
        <w:tc>
          <w:tcPr>
            <w:tcW w:w="2504"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6A4C5D8D">
            <w:pPr>
              <w:pStyle w:val="3"/>
            </w:pPr>
            <w:r>
              <w:rPr>
                <w:rFonts w:eastAsia="Arial Unicode MS" w:cs="Arial Unicode MS"/>
              </w:rPr>
              <w:t>Audited financial statements; Central Bank/credit rating agency reports; annual budget performance reports; endowment fund statements.</w:t>
            </w:r>
          </w:p>
        </w:tc>
        <w:tc>
          <w:tcPr>
            <w:tcW w:w="2415"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54" w:type="dxa"/>
            </w:tcMar>
          </w:tcPr>
          <w:p w14:paraId="0EADE0FD">
            <w:pPr>
              <w:pStyle w:val="3"/>
            </w:pPr>
            <w:r>
              <w:rPr>
                <w:rFonts w:eastAsia="Arial Unicode MS" w:cs="Arial Unicode MS"/>
              </w:rPr>
              <w:t>Stable macroeconomic conditions; effective financial governance; continued donor, alumni, and PPP support.</w:t>
            </w:r>
          </w:p>
        </w:tc>
      </w:tr>
      <w:tr w14:paraId="7BB1E96D">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1676" w:hRule="atLeast"/>
        </w:trPr>
        <w:tc>
          <w:tcPr>
            <w:tcW w:w="1986" w:type="dxa"/>
            <w:tcBorders>
              <w:top w:val="dotted" w:color="919191" w:sz="6" w:space="0"/>
              <w:left w:val="nil"/>
              <w:bottom w:val="nil"/>
              <w:right w:val="single" w:color="919191" w:sz="2" w:space="0"/>
            </w:tcBorders>
            <w:tcMar>
              <w:top w:w="54" w:type="dxa"/>
              <w:left w:w="54" w:type="dxa"/>
              <w:bottom w:w="54" w:type="dxa"/>
              <w:right w:w="54" w:type="dxa"/>
            </w:tcMar>
          </w:tcPr>
          <w:p w14:paraId="041EF73C">
            <w:pPr>
              <w:pStyle w:val="3"/>
            </w:pPr>
            <w:r>
              <w:rPr>
                <w:rFonts w:eastAsia="Arial Unicode MS" w:cs="Arial Unicode MS"/>
              </w:rPr>
              <w:t>Operational excellence</w:t>
            </w:r>
          </w:p>
        </w:tc>
        <w:tc>
          <w:tcPr>
            <w:tcW w:w="2593" w:type="dxa"/>
            <w:tcBorders>
              <w:top w:val="dotted" w:color="919191" w:sz="6" w:space="0"/>
              <w:left w:val="single" w:color="919191" w:sz="2" w:space="0"/>
              <w:bottom w:val="nil"/>
              <w:right w:val="single" w:color="919191" w:sz="2" w:space="0"/>
            </w:tcBorders>
            <w:tcMar>
              <w:top w:w="54" w:type="dxa"/>
              <w:left w:w="54" w:type="dxa"/>
              <w:bottom w:w="54" w:type="dxa"/>
              <w:right w:w="54" w:type="dxa"/>
            </w:tcMar>
          </w:tcPr>
          <w:p w14:paraId="32FF7E2E">
            <w:pPr>
              <w:pStyle w:val="3"/>
              <w:numPr>
                <w:ilvl w:val="1"/>
                <w:numId w:val="122"/>
              </w:numPr>
            </w:pPr>
            <w:r>
              <w:rPr>
                <w:rFonts w:eastAsia="Arial Unicode MS" w:cs="Arial Unicode MS"/>
                <w:lang w:val="en-US"/>
              </w:rPr>
              <w:t>Process efficiency metrics; customer satisfaction metrics, quality metrics, benchmarking against peer institutions</w:t>
            </w:r>
          </w:p>
        </w:tc>
        <w:tc>
          <w:tcPr>
            <w:tcW w:w="2504" w:type="dxa"/>
            <w:tcBorders>
              <w:top w:val="dotted" w:color="919191" w:sz="6" w:space="0"/>
              <w:left w:val="single" w:color="919191" w:sz="2" w:space="0"/>
              <w:bottom w:val="nil"/>
              <w:right w:val="single" w:color="919191" w:sz="2" w:space="0"/>
            </w:tcBorders>
            <w:tcMar>
              <w:top w:w="54" w:type="dxa"/>
              <w:left w:w="54" w:type="dxa"/>
              <w:bottom w:w="54" w:type="dxa"/>
              <w:right w:w="54" w:type="dxa"/>
            </w:tcMar>
          </w:tcPr>
          <w:p w14:paraId="0E988C32">
            <w:pPr>
              <w:pStyle w:val="3"/>
            </w:pPr>
            <w:r>
              <w:rPr>
                <w:rFonts w:eastAsia="Arial Unicode MS" w:cs="Arial Unicode MS"/>
              </w:rPr>
              <w:t>Internal and external audit reports; quality assurance (QA) and ISO certification records; user satisfaction surveys; benchmarking reports from peer institutions.</w:t>
            </w:r>
          </w:p>
        </w:tc>
        <w:tc>
          <w:tcPr>
            <w:tcW w:w="2415" w:type="dxa"/>
            <w:tcBorders>
              <w:top w:val="dotted" w:color="919191" w:sz="6" w:space="0"/>
              <w:left w:val="single" w:color="919191" w:sz="2" w:space="0"/>
              <w:bottom w:val="nil"/>
              <w:right w:val="nil"/>
            </w:tcBorders>
            <w:tcMar>
              <w:top w:w="54" w:type="dxa"/>
              <w:left w:w="54" w:type="dxa"/>
              <w:bottom w:w="54" w:type="dxa"/>
              <w:right w:w="54" w:type="dxa"/>
            </w:tcMar>
          </w:tcPr>
          <w:p w14:paraId="0D4719B5">
            <w:pPr>
              <w:pStyle w:val="3"/>
            </w:pPr>
            <w:r>
              <w:rPr>
                <w:rFonts w:eastAsia="Arial Unicode MS" w:cs="Arial Unicode MS"/>
              </w:rPr>
              <w:t>Strong institutional leadership; culture of accountability and continuous improvement; sustained investment in green infrastructure and efficient technologies.</w:t>
            </w:r>
          </w:p>
        </w:tc>
      </w:tr>
    </w:tbl>
    <w:p w14:paraId="7354EF09">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1C631073">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1F7AE013">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47F2F9A4">
      <w:pPr>
        <w:pStyle w:val="3"/>
        <w:spacing w:line="360" w:lineRule="auto"/>
        <w:rPr>
          <w:rFonts w:ascii="Helvetica Neue" w:hAnsi="Helvetica Neue" w:eastAsia="Helvetica Neue" w:cs="Helvetica Neue"/>
          <w:b/>
          <w:bCs/>
          <w:sz w:val="24"/>
          <w:szCs w:val="24"/>
        </w:rPr>
      </w:pPr>
      <w:r>
        <w:rPr>
          <w:rFonts w:ascii="Helvetica Neue" w:hAnsi="Helvetica Neue"/>
          <w:b/>
          <w:bCs/>
          <w:sz w:val="24"/>
          <w:szCs w:val="24"/>
          <w:lang w:val="en-US"/>
        </w:rPr>
        <w:t xml:space="preserve">2.3. Stakeholders, Responsibilities and Information Need </w:t>
      </w:r>
    </w:p>
    <w:p w14:paraId="4F5FE005">
      <w:pPr>
        <w:pStyle w:val="3"/>
        <w:spacing w:line="360" w:lineRule="auto"/>
        <w:rPr>
          <w:sz w:val="24"/>
          <w:szCs w:val="24"/>
        </w:rPr>
      </w:pPr>
      <w:r>
        <w:rPr>
          <w:sz w:val="24"/>
          <w:szCs w:val="24"/>
          <w:lang w:val="en-US"/>
        </w:rPr>
        <w:t>The PPP initiatives in the University of Nigeria can involve multiple stakeholders at different levels. Table 6 summarises the key stakeholders</w:t>
      </w:r>
      <w:r>
        <w:rPr>
          <w:sz w:val="24"/>
          <w:szCs w:val="24"/>
          <w:rtl/>
        </w:rPr>
        <w:t xml:space="preserve">’ </w:t>
      </w:r>
      <w:r>
        <w:rPr>
          <w:sz w:val="24"/>
          <w:szCs w:val="24"/>
          <w:lang w:val="en-US"/>
        </w:rPr>
        <w:t>responsibilities and some of the likely information needs/use of the M&amp;E data.</w:t>
      </w:r>
    </w:p>
    <w:p w14:paraId="2C21F8AF">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b/>
          <w:bCs/>
          <w:sz w:val="24"/>
          <w:szCs w:val="24"/>
        </w:rPr>
      </w:pPr>
    </w:p>
    <w:p w14:paraId="2E4E1563">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b/>
          <w:bCs/>
          <w:sz w:val="24"/>
          <w:szCs w:val="24"/>
        </w:rPr>
      </w:pPr>
    </w:p>
    <w:p w14:paraId="04973935">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b/>
          <w:bCs/>
          <w:sz w:val="24"/>
          <w:szCs w:val="24"/>
        </w:rPr>
      </w:pPr>
      <w:r>
        <w:rPr>
          <w:rFonts w:ascii="Times New Roman" w:hAnsi="Times New Roman"/>
          <w:b/>
          <w:bCs/>
          <w:sz w:val="24"/>
          <w:szCs w:val="24"/>
        </w:rPr>
        <w:t>Table 6: Key Stakeholders</w:t>
      </w:r>
      <w:r>
        <w:rPr>
          <w:rFonts w:ascii="Times New Roman" w:hAnsi="Times New Roman"/>
          <w:b/>
          <w:bCs/>
          <w:sz w:val="24"/>
          <w:szCs w:val="24"/>
          <w:rtl/>
        </w:rPr>
        <w:t xml:space="preserve">’ </w:t>
      </w:r>
      <w:r>
        <w:rPr>
          <w:rFonts w:ascii="Times New Roman" w:hAnsi="Times New Roman"/>
          <w:b/>
          <w:bCs/>
          <w:sz w:val="24"/>
          <w:szCs w:val="24"/>
          <w:lang w:val="en-US"/>
        </w:rPr>
        <w:t>Responsibilities</w:t>
      </w:r>
    </w:p>
    <w:p w14:paraId="387A493F">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b/>
          <w:bCs/>
          <w:sz w:val="24"/>
          <w:szCs w:val="24"/>
        </w:rPr>
      </w:pPr>
    </w:p>
    <w:p w14:paraId="4658C90F">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b/>
          <w:bCs/>
          <w:sz w:val="24"/>
          <w:szCs w:val="24"/>
        </w:rPr>
      </w:pPr>
    </w:p>
    <w:p w14:paraId="57260FC0">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b/>
          <w:bCs/>
          <w:sz w:val="24"/>
          <w:szCs w:val="24"/>
        </w:rPr>
      </w:pPr>
    </w:p>
    <w:p w14:paraId="6A3727A4">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b/>
          <w:bCs/>
          <w:sz w:val="24"/>
          <w:szCs w:val="24"/>
        </w:rPr>
      </w:pPr>
    </w:p>
    <w:p w14:paraId="60F8B82F">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b/>
          <w:bCs/>
          <w:sz w:val="24"/>
          <w:szCs w:val="24"/>
        </w:rPr>
      </w:pPr>
    </w:p>
    <w:p w14:paraId="40BEDBB6">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b/>
          <w:bCs/>
          <w:sz w:val="24"/>
          <w:szCs w:val="24"/>
        </w:rPr>
      </w:pPr>
    </w:p>
    <w:tbl>
      <w:tblPr>
        <w:tblStyle w:val="6"/>
        <w:tblW w:w="9360" w:type="dxa"/>
        <w:tblInd w:w="108" w:type="dxa"/>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Layout w:type="fixed"/>
        <w:tblCellMar>
          <w:top w:w="0" w:type="dxa"/>
          <w:left w:w="108" w:type="dxa"/>
          <w:bottom w:w="0" w:type="dxa"/>
          <w:right w:w="108" w:type="dxa"/>
        </w:tblCellMar>
      </w:tblPr>
      <w:tblGrid>
        <w:gridCol w:w="3082"/>
        <w:gridCol w:w="3023"/>
        <w:gridCol w:w="3255"/>
      </w:tblGrid>
      <w:tr w14:paraId="60887464">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01" w:hRule="atLeast"/>
        </w:trPr>
        <w:tc>
          <w:tcPr>
            <w:tcW w:w="3082" w:type="dxa"/>
            <w:tcBorders>
              <w:top w:val="nil"/>
              <w:left w:val="nil"/>
              <w:bottom w:val="dotted" w:color="919191" w:sz="6" w:space="0"/>
              <w:right w:val="single" w:color="919191" w:sz="2" w:space="0"/>
            </w:tcBorders>
            <w:shd w:val="clear" w:color="auto" w:fill="E1E1E1"/>
            <w:tcMar>
              <w:top w:w="54" w:type="dxa"/>
              <w:left w:w="54" w:type="dxa"/>
              <w:bottom w:w="54" w:type="dxa"/>
              <w:right w:w="54" w:type="dxa"/>
            </w:tcMar>
          </w:tcPr>
          <w:p w14:paraId="74FF9986">
            <w:pPr>
              <w:pStyle w:val="3"/>
              <w:numPr>
                <w:ilvl w:val="1"/>
                <w:numId w:val="123"/>
              </w:numPr>
            </w:pPr>
            <w:r>
              <w:rPr>
                <w:rFonts w:eastAsia="Arial Unicode MS" w:cs="Arial Unicode MS"/>
              </w:rPr>
              <w:t>Stakeholder</w:t>
            </w:r>
          </w:p>
        </w:tc>
        <w:tc>
          <w:tcPr>
            <w:tcW w:w="3022" w:type="dxa"/>
            <w:tcBorders>
              <w:top w:val="nil"/>
              <w:left w:val="single" w:color="919191" w:sz="2" w:space="0"/>
              <w:bottom w:val="dotted" w:color="919191" w:sz="6" w:space="0"/>
              <w:right w:val="single" w:color="919191" w:sz="2" w:space="0"/>
            </w:tcBorders>
            <w:shd w:val="clear" w:color="auto" w:fill="E1E1E1"/>
            <w:tcMar>
              <w:top w:w="54" w:type="dxa"/>
              <w:left w:w="54" w:type="dxa"/>
              <w:bottom w:w="54" w:type="dxa"/>
              <w:right w:w="54" w:type="dxa"/>
            </w:tcMar>
          </w:tcPr>
          <w:p w14:paraId="0CB1A3AB">
            <w:pPr>
              <w:pStyle w:val="3"/>
              <w:numPr>
                <w:ilvl w:val="1"/>
                <w:numId w:val="124"/>
              </w:numPr>
            </w:pPr>
            <w:r>
              <w:rPr>
                <w:rFonts w:eastAsia="Arial Unicode MS" w:cs="Arial Unicode MS"/>
                <w:lang w:val="en-US"/>
              </w:rPr>
              <w:t>M&amp;E Responsibilities</w:t>
            </w:r>
          </w:p>
        </w:tc>
        <w:tc>
          <w:tcPr>
            <w:tcW w:w="3254" w:type="dxa"/>
            <w:tcBorders>
              <w:top w:val="nil"/>
              <w:left w:val="single" w:color="919191" w:sz="2" w:space="0"/>
              <w:bottom w:val="dotted" w:color="919191" w:sz="6" w:space="0"/>
              <w:right w:val="nil"/>
            </w:tcBorders>
            <w:shd w:val="clear" w:color="auto" w:fill="E1E1E1"/>
            <w:tcMar>
              <w:top w:w="54" w:type="dxa"/>
              <w:left w:w="54" w:type="dxa"/>
              <w:bottom w:w="54" w:type="dxa"/>
              <w:right w:w="54" w:type="dxa"/>
            </w:tcMar>
          </w:tcPr>
          <w:p w14:paraId="15E07F83">
            <w:pPr>
              <w:pStyle w:val="3"/>
              <w:numPr>
                <w:ilvl w:val="1"/>
                <w:numId w:val="125"/>
              </w:numPr>
            </w:pPr>
            <w:r>
              <w:rPr>
                <w:rFonts w:eastAsia="Arial Unicode MS" w:cs="Arial Unicode MS"/>
                <w:lang w:val="en-US"/>
              </w:rPr>
              <w:t>Information Need</w:t>
            </w:r>
          </w:p>
        </w:tc>
      </w:tr>
      <w:tr w14:paraId="6C4DA305">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3478" w:hRule="atLeast"/>
        </w:trPr>
        <w:tc>
          <w:tcPr>
            <w:tcW w:w="3082" w:type="dxa"/>
            <w:tcBorders>
              <w:top w:val="dotted" w:color="919191" w:sz="6" w:space="0"/>
              <w:left w:val="nil"/>
              <w:bottom w:val="dotted" w:color="919191" w:sz="6" w:space="0"/>
              <w:right w:val="single" w:color="919191" w:sz="2" w:space="0"/>
            </w:tcBorders>
            <w:shd w:val="clear" w:color="auto" w:fill="E1E1E1"/>
            <w:tcMar>
              <w:top w:w="54" w:type="dxa"/>
              <w:left w:w="54" w:type="dxa"/>
              <w:bottom w:w="54" w:type="dxa"/>
              <w:right w:w="54" w:type="dxa"/>
            </w:tcMar>
          </w:tcPr>
          <w:p w14:paraId="6DE61C2F">
            <w:pPr>
              <w:pStyle w:val="3"/>
              <w:numPr>
                <w:ilvl w:val="1"/>
                <w:numId w:val="126"/>
              </w:numPr>
            </w:pPr>
            <w:r>
              <w:rPr>
                <w:rFonts w:eastAsia="Arial Unicode MS" w:cs="Arial Unicode MS"/>
                <w:lang w:val="en-US"/>
              </w:rPr>
              <w:t>University Council</w:t>
            </w:r>
          </w:p>
        </w:tc>
        <w:tc>
          <w:tcPr>
            <w:tcW w:w="3022"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2FD41A95">
            <w:pPr>
              <w:pStyle w:val="3"/>
              <w:numPr>
                <w:ilvl w:val="1"/>
                <w:numId w:val="127"/>
              </w:numPr>
            </w:pPr>
            <w:r>
              <w:rPr>
                <w:rFonts w:eastAsia="Arial Unicode MS" w:cs="Arial Unicode MS"/>
                <w:lang w:val="en-US"/>
              </w:rPr>
              <w:t>Oversee PPP policies and engagement</w:t>
            </w:r>
          </w:p>
          <w:p w14:paraId="770C81FE">
            <w:pPr>
              <w:pStyle w:val="3"/>
              <w:numPr>
                <w:ilvl w:val="1"/>
                <w:numId w:val="127"/>
              </w:numPr>
            </w:pPr>
            <w:r>
              <w:rPr>
                <w:rFonts w:eastAsia="Arial Unicode MS" w:cs="Arial Unicode MS"/>
                <w:lang w:val="en-US"/>
              </w:rPr>
              <w:t>b. Approve resources to support PPP initiatives</w:t>
            </w:r>
          </w:p>
          <w:p w14:paraId="35E3F27F">
            <w:pPr>
              <w:pStyle w:val="3"/>
              <w:numPr>
                <w:ilvl w:val="1"/>
                <w:numId w:val="127"/>
              </w:numPr>
            </w:pPr>
            <w:r>
              <w:rPr>
                <w:rFonts w:eastAsia="Arial Unicode MS" w:cs="Arial Unicode MS"/>
                <w:lang w:val="en-US"/>
              </w:rPr>
              <w:t>c. Ensure that PPP projects are implemented in line with University policies through oversight functions</w:t>
            </w:r>
          </w:p>
        </w:tc>
        <w:tc>
          <w:tcPr>
            <w:tcW w:w="3254"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54" w:type="dxa"/>
            </w:tcMar>
          </w:tcPr>
          <w:p w14:paraId="04DACA55">
            <w:pPr>
              <w:pStyle w:val="3"/>
              <w:numPr>
                <w:ilvl w:val="1"/>
                <w:numId w:val="128"/>
              </w:numPr>
            </w:pPr>
            <w:r>
              <w:rPr>
                <w:rFonts w:eastAsia="Arial Unicode MS" w:cs="Arial Unicode MS"/>
                <w:lang w:val="en-US"/>
              </w:rPr>
              <w:t>National policy guidelines for PPP engagement</w:t>
            </w:r>
          </w:p>
          <w:p w14:paraId="5890CA56">
            <w:pPr>
              <w:pStyle w:val="3"/>
              <w:numPr>
                <w:ilvl w:val="1"/>
                <w:numId w:val="128"/>
              </w:numPr>
            </w:pPr>
            <w:r>
              <w:rPr>
                <w:rFonts w:eastAsia="Arial Unicode MS" w:cs="Arial Unicode MS"/>
                <w:lang w:val="en-US"/>
              </w:rPr>
              <w:t>Policy framework development</w:t>
            </w:r>
          </w:p>
          <w:p w14:paraId="45AF2C91">
            <w:pPr>
              <w:pStyle w:val="3"/>
              <w:numPr>
                <w:ilvl w:val="1"/>
                <w:numId w:val="128"/>
              </w:numPr>
            </w:pPr>
            <w:r>
              <w:rPr>
                <w:rFonts w:eastAsia="Arial Unicode MS" w:cs="Arial Unicode MS"/>
                <w:lang w:val="en-US"/>
              </w:rPr>
              <w:t>Organizational learning</w:t>
            </w:r>
          </w:p>
        </w:tc>
      </w:tr>
      <w:tr w14:paraId="42153E8A">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617" w:hRule="atLeast"/>
        </w:trPr>
        <w:tc>
          <w:tcPr>
            <w:tcW w:w="3082" w:type="dxa"/>
            <w:tcBorders>
              <w:top w:val="dotted" w:color="919191" w:sz="6" w:space="0"/>
              <w:left w:val="nil"/>
              <w:bottom w:val="dotted" w:color="919191" w:sz="6" w:space="0"/>
              <w:right w:val="single" w:color="919191" w:sz="2" w:space="0"/>
            </w:tcBorders>
            <w:shd w:val="clear" w:color="auto" w:fill="E1E1E1"/>
            <w:tcMar>
              <w:top w:w="54" w:type="dxa"/>
              <w:left w:w="54" w:type="dxa"/>
              <w:bottom w:w="54" w:type="dxa"/>
              <w:right w:w="54" w:type="dxa"/>
            </w:tcMar>
          </w:tcPr>
          <w:p w14:paraId="7973E9AE">
            <w:pPr>
              <w:pStyle w:val="3"/>
              <w:numPr>
                <w:ilvl w:val="1"/>
                <w:numId w:val="129"/>
              </w:numPr>
            </w:pPr>
            <w:r>
              <w:rPr>
                <w:rFonts w:eastAsia="Arial Unicode MS" w:cs="Arial Unicode MS"/>
                <w:lang w:val="en-US"/>
              </w:rPr>
              <w:t>University Management</w:t>
            </w:r>
          </w:p>
        </w:tc>
        <w:tc>
          <w:tcPr>
            <w:tcW w:w="3022" w:type="dxa"/>
            <w:tcBorders>
              <w:top w:val="dotted" w:color="919191" w:sz="6" w:space="0"/>
              <w:left w:val="single" w:color="919191" w:sz="2" w:space="0"/>
              <w:bottom w:val="dotted" w:color="919191" w:sz="6" w:space="0"/>
              <w:right w:val="single" w:color="919191" w:sz="2" w:space="0"/>
            </w:tcBorders>
            <w:shd w:val="clear" w:color="auto" w:fill="DFDFDF"/>
            <w:tcMar>
              <w:top w:w="54" w:type="dxa"/>
              <w:left w:w="54" w:type="dxa"/>
              <w:bottom w:w="54" w:type="dxa"/>
              <w:right w:w="54" w:type="dxa"/>
            </w:tcMar>
          </w:tcPr>
          <w:p w14:paraId="6ED8A395">
            <w:pPr>
              <w:pStyle w:val="3"/>
              <w:numPr>
                <w:ilvl w:val="1"/>
                <w:numId w:val="130"/>
              </w:numPr>
            </w:pPr>
            <w:r>
              <w:rPr>
                <w:rFonts w:eastAsia="Arial Unicode MS" w:cs="Arial Unicode MS"/>
                <w:lang w:val="en-US"/>
              </w:rPr>
              <w:t xml:space="preserve">a. Oversee PPP project implementation </w:t>
            </w:r>
          </w:p>
          <w:p w14:paraId="08087036">
            <w:pPr>
              <w:pStyle w:val="3"/>
              <w:numPr>
                <w:ilvl w:val="1"/>
                <w:numId w:val="130"/>
              </w:numPr>
            </w:pPr>
            <w:r>
              <w:rPr>
                <w:rFonts w:eastAsia="Arial Unicode MS" w:cs="Arial Unicode MS"/>
                <w:lang w:val="en-US"/>
              </w:rPr>
              <w:t>ensure compliance with standards</w:t>
            </w:r>
          </w:p>
          <w:p w14:paraId="46C57C71">
            <w:pPr>
              <w:pStyle w:val="3"/>
              <w:numPr>
                <w:ilvl w:val="1"/>
                <w:numId w:val="130"/>
              </w:numPr>
            </w:pPr>
            <w:r>
              <w:rPr>
                <w:rFonts w:eastAsia="Arial Unicode MS" w:cs="Arial Unicode MS"/>
                <w:lang w:val="en-US"/>
              </w:rPr>
              <w:t>Provide resources to support PPP implementation</w:t>
            </w:r>
          </w:p>
        </w:tc>
        <w:tc>
          <w:tcPr>
            <w:tcW w:w="3254" w:type="dxa"/>
            <w:tcBorders>
              <w:top w:val="dotted" w:color="919191" w:sz="6" w:space="0"/>
              <w:left w:val="single" w:color="919191" w:sz="2" w:space="0"/>
              <w:bottom w:val="dotted" w:color="919191" w:sz="6" w:space="0"/>
              <w:right w:val="nil"/>
            </w:tcBorders>
            <w:shd w:val="clear" w:color="auto" w:fill="DFDFDF"/>
            <w:tcMar>
              <w:top w:w="54" w:type="dxa"/>
              <w:left w:w="54" w:type="dxa"/>
              <w:bottom w:w="54" w:type="dxa"/>
              <w:right w:w="54" w:type="dxa"/>
            </w:tcMar>
          </w:tcPr>
          <w:p w14:paraId="2143D711">
            <w:pPr>
              <w:pStyle w:val="3"/>
              <w:numPr>
                <w:ilvl w:val="1"/>
                <w:numId w:val="131"/>
              </w:numPr>
            </w:pPr>
            <w:r>
              <w:rPr>
                <w:rFonts w:eastAsia="Arial Unicode MS" w:cs="Arial Unicode MS"/>
                <w:lang w:val="en-US"/>
              </w:rPr>
              <w:t>a. Long-term strategic planning</w:t>
            </w:r>
          </w:p>
          <w:p w14:paraId="429E5CC0">
            <w:pPr>
              <w:pStyle w:val="3"/>
              <w:numPr>
                <w:ilvl w:val="1"/>
                <w:numId w:val="131"/>
              </w:numPr>
            </w:pPr>
            <w:r>
              <w:rPr>
                <w:rFonts w:eastAsia="Arial Unicode MS" w:cs="Arial Unicode MS"/>
                <w:lang w:val="en-US"/>
              </w:rPr>
              <w:t>b. Knowledge sharing</w:t>
            </w:r>
          </w:p>
          <w:p w14:paraId="505906B8">
            <w:pPr>
              <w:pStyle w:val="3"/>
              <w:numPr>
                <w:ilvl w:val="1"/>
                <w:numId w:val="131"/>
              </w:numPr>
            </w:pPr>
            <w:r>
              <w:rPr>
                <w:rFonts w:eastAsia="Arial Unicode MS" w:cs="Arial Unicode MS"/>
                <w:lang w:val="en-US"/>
              </w:rPr>
              <w:t>c. Organizational learning</w:t>
            </w:r>
          </w:p>
          <w:p w14:paraId="026399F0">
            <w:pPr>
              <w:pStyle w:val="3"/>
              <w:numPr>
                <w:ilvl w:val="1"/>
                <w:numId w:val="131"/>
              </w:numPr>
            </w:pPr>
            <w:r>
              <w:rPr>
                <w:rFonts w:eastAsia="Arial Unicode MS" w:cs="Arial Unicode MS"/>
                <w:lang w:val="en-US"/>
              </w:rPr>
              <w:t>Informed decision making</w:t>
            </w:r>
          </w:p>
        </w:tc>
      </w:tr>
      <w:tr w14:paraId="397E64A2">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8033" w:hRule="atLeast"/>
        </w:trPr>
        <w:tc>
          <w:tcPr>
            <w:tcW w:w="3082" w:type="dxa"/>
            <w:tcBorders>
              <w:top w:val="dotted" w:color="919191" w:sz="6" w:space="0"/>
              <w:left w:val="nil"/>
              <w:bottom w:val="dotted" w:color="919191" w:sz="6" w:space="0"/>
              <w:right w:val="single" w:color="919191" w:sz="2" w:space="0"/>
            </w:tcBorders>
            <w:shd w:val="clear" w:color="auto" w:fill="E1E1E1"/>
            <w:tcMar>
              <w:top w:w="54" w:type="dxa"/>
              <w:left w:w="54" w:type="dxa"/>
              <w:bottom w:w="54" w:type="dxa"/>
              <w:right w:w="54" w:type="dxa"/>
            </w:tcMar>
          </w:tcPr>
          <w:p w14:paraId="440D105F">
            <w:pPr>
              <w:pStyle w:val="3"/>
              <w:numPr>
                <w:ilvl w:val="1"/>
                <w:numId w:val="132"/>
              </w:numPr>
            </w:pPr>
            <w:r>
              <w:rPr>
                <w:rFonts w:eastAsia="Arial Unicode MS" w:cs="Arial Unicode MS"/>
                <w:lang w:val="en-US"/>
              </w:rPr>
              <w:t>Public Private Partnership Unit</w:t>
            </w:r>
          </w:p>
        </w:tc>
        <w:tc>
          <w:tcPr>
            <w:tcW w:w="3022"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4439EDFE">
            <w:pPr>
              <w:pStyle w:val="3"/>
              <w:numPr>
                <w:ilvl w:val="1"/>
                <w:numId w:val="133"/>
              </w:numPr>
            </w:pPr>
            <w:r>
              <w:rPr>
                <w:rFonts w:eastAsia="Arial Unicode MS" w:cs="Arial Unicode MS"/>
                <w:lang w:val="en-US"/>
              </w:rPr>
              <w:t xml:space="preserve">Design, implement, and maintain comprehensive information systems and databases </w:t>
            </w:r>
          </w:p>
          <w:p w14:paraId="7D6C0F2C">
            <w:pPr>
              <w:pStyle w:val="3"/>
              <w:numPr>
                <w:ilvl w:val="1"/>
                <w:numId w:val="133"/>
              </w:numPr>
            </w:pPr>
            <w:r>
              <w:rPr>
                <w:rFonts w:eastAsia="Arial Unicode MS" w:cs="Arial Unicode MS"/>
                <w:lang w:val="en-US"/>
              </w:rPr>
              <w:t xml:space="preserve">Create standardized guidelines for M&amp;E data collection, analysis, and reporting processes </w:t>
            </w:r>
          </w:p>
          <w:p w14:paraId="358F0C63">
            <w:pPr>
              <w:pStyle w:val="3"/>
              <w:numPr>
                <w:ilvl w:val="1"/>
                <w:numId w:val="133"/>
              </w:numPr>
            </w:pPr>
            <w:r>
              <w:rPr>
                <w:rFonts w:eastAsia="Arial Unicode MS" w:cs="Arial Unicode MS"/>
                <w:lang w:val="en-US"/>
              </w:rPr>
              <w:t xml:space="preserve">Execute data quality assessments, internal evaluations, and stakeholder surveys </w:t>
            </w:r>
          </w:p>
          <w:p w14:paraId="4BDB001D">
            <w:pPr>
              <w:pStyle w:val="3"/>
              <w:numPr>
                <w:ilvl w:val="1"/>
                <w:numId w:val="133"/>
              </w:numPr>
            </w:pPr>
            <w:r>
              <w:rPr>
                <w:rFonts w:eastAsia="Arial Unicode MS" w:cs="Arial Unicode MS"/>
                <w:lang w:val="en-US"/>
              </w:rPr>
              <w:t xml:space="preserve">Facilitate and provide support for external evaluation processes </w:t>
            </w:r>
          </w:p>
          <w:p w14:paraId="2BA043AF">
            <w:pPr>
              <w:pStyle w:val="3"/>
              <w:numPr>
                <w:ilvl w:val="1"/>
                <w:numId w:val="133"/>
              </w:numPr>
            </w:pPr>
            <w:r>
              <w:rPr>
                <w:rFonts w:eastAsia="Arial Unicode MS" w:cs="Arial Unicode MS"/>
                <w:lang w:val="en-US"/>
              </w:rPr>
              <w:t xml:space="preserve">Schedule and conduct regular M&amp;E coordination meetings </w:t>
            </w:r>
          </w:p>
          <w:p w14:paraId="3E5160AC">
            <w:pPr>
              <w:pStyle w:val="3"/>
              <w:numPr>
                <w:ilvl w:val="1"/>
                <w:numId w:val="133"/>
              </w:numPr>
            </w:pPr>
            <w:r>
              <w:rPr>
                <w:rFonts w:eastAsia="Arial Unicode MS" w:cs="Arial Unicode MS"/>
                <w:lang w:val="en-US"/>
              </w:rPr>
              <w:t>Deliver comprehensive M&amp;E training programs for staff capacity building</w:t>
            </w:r>
          </w:p>
        </w:tc>
        <w:tc>
          <w:tcPr>
            <w:tcW w:w="3254"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54" w:type="dxa"/>
            </w:tcMar>
          </w:tcPr>
          <w:p w14:paraId="52F686FE">
            <w:pPr>
              <w:pStyle w:val="3"/>
              <w:numPr>
                <w:ilvl w:val="1"/>
                <w:numId w:val="134"/>
              </w:numPr>
            </w:pPr>
            <w:r>
              <w:rPr>
                <w:rFonts w:eastAsia="Arial Unicode MS" w:cs="Arial Unicode MS"/>
                <w:lang w:val="en-US"/>
              </w:rPr>
              <w:t>Evidence -informed decision making</w:t>
            </w:r>
          </w:p>
          <w:p w14:paraId="56A59650">
            <w:pPr>
              <w:pStyle w:val="3"/>
              <w:numPr>
                <w:ilvl w:val="1"/>
                <w:numId w:val="134"/>
              </w:numPr>
            </w:pPr>
            <w:r>
              <w:rPr>
                <w:rFonts w:eastAsia="Arial Unicode MS" w:cs="Arial Unicode MS"/>
                <w:lang w:val="en-US"/>
              </w:rPr>
              <w:t>Project/programme planning and accountability</w:t>
            </w:r>
          </w:p>
          <w:p w14:paraId="29846550">
            <w:pPr>
              <w:pStyle w:val="3"/>
              <w:numPr>
                <w:ilvl w:val="1"/>
                <w:numId w:val="134"/>
              </w:numPr>
            </w:pPr>
            <w:r>
              <w:rPr>
                <w:rFonts w:eastAsia="Arial Unicode MS" w:cs="Arial Unicode MS"/>
                <w:lang w:val="en-US"/>
              </w:rPr>
              <w:t>project performance assessment</w:t>
            </w:r>
          </w:p>
          <w:p w14:paraId="572F7744">
            <w:pPr>
              <w:pStyle w:val="3"/>
              <w:numPr>
                <w:ilvl w:val="1"/>
                <w:numId w:val="134"/>
              </w:numPr>
            </w:pPr>
            <w:r>
              <w:rPr>
                <w:rFonts w:eastAsia="Arial Unicode MS" w:cs="Arial Unicode MS"/>
                <w:lang w:val="en-US"/>
              </w:rPr>
              <w:t>policy and strategy development</w:t>
            </w:r>
          </w:p>
          <w:p w14:paraId="52FF574D">
            <w:pPr>
              <w:pStyle w:val="3"/>
              <w:numPr>
                <w:ilvl w:val="1"/>
                <w:numId w:val="134"/>
              </w:numPr>
            </w:pPr>
            <w:r>
              <w:rPr>
                <w:rFonts w:eastAsia="Arial Unicode MS" w:cs="Arial Unicode MS"/>
                <w:lang w:val="en-US"/>
              </w:rPr>
              <w:t>Risk management</w:t>
            </w:r>
          </w:p>
          <w:p w14:paraId="28C4F885">
            <w:pPr>
              <w:pStyle w:val="3"/>
              <w:numPr>
                <w:ilvl w:val="1"/>
                <w:numId w:val="134"/>
              </w:numPr>
            </w:pPr>
            <w:r>
              <w:rPr>
                <w:rFonts w:eastAsia="Arial Unicode MS" w:cs="Arial Unicode MS"/>
                <w:lang w:val="en-US"/>
              </w:rPr>
              <w:t>contract management</w:t>
            </w:r>
          </w:p>
          <w:p w14:paraId="277ECE19">
            <w:pPr>
              <w:pStyle w:val="3"/>
              <w:numPr>
                <w:ilvl w:val="1"/>
                <w:numId w:val="134"/>
              </w:numPr>
            </w:pPr>
            <w:r>
              <w:rPr>
                <w:rFonts w:eastAsia="Arial Unicode MS" w:cs="Arial Unicode MS"/>
                <w:lang w:val="en-US"/>
              </w:rPr>
              <w:t>stakeholder engagement</w:t>
            </w:r>
          </w:p>
          <w:p w14:paraId="46B56F5F">
            <w:pPr>
              <w:pStyle w:val="3"/>
              <w:numPr>
                <w:ilvl w:val="1"/>
                <w:numId w:val="134"/>
              </w:numPr>
            </w:pPr>
            <w:r>
              <w:rPr>
                <w:rFonts w:eastAsia="Arial Unicode MS" w:cs="Arial Unicode MS"/>
                <w:lang w:val="en-US"/>
              </w:rPr>
              <w:t>accountability and transparency</w:t>
            </w:r>
          </w:p>
        </w:tc>
      </w:tr>
      <w:tr w14:paraId="79C2CD07">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8033" w:hRule="atLeast"/>
        </w:trPr>
        <w:tc>
          <w:tcPr>
            <w:tcW w:w="3082" w:type="dxa"/>
            <w:tcBorders>
              <w:top w:val="dotted" w:color="919191" w:sz="6" w:space="0"/>
              <w:left w:val="nil"/>
              <w:bottom w:val="dotted" w:color="919191" w:sz="6" w:space="0"/>
              <w:right w:val="single" w:color="919191" w:sz="2" w:space="0"/>
            </w:tcBorders>
            <w:shd w:val="clear" w:color="auto" w:fill="E1E1E1"/>
            <w:tcMar>
              <w:top w:w="54" w:type="dxa"/>
              <w:left w:w="54" w:type="dxa"/>
              <w:bottom w:w="54" w:type="dxa"/>
              <w:right w:w="54" w:type="dxa"/>
            </w:tcMar>
          </w:tcPr>
          <w:p w14:paraId="40E75B84">
            <w:pPr>
              <w:pStyle w:val="3"/>
              <w:numPr>
                <w:ilvl w:val="1"/>
                <w:numId w:val="135"/>
              </w:numPr>
            </w:pPr>
            <w:r>
              <w:rPr>
                <w:rFonts w:eastAsia="Arial Unicode MS" w:cs="Arial Unicode MS"/>
                <w:lang w:val="en-US"/>
              </w:rPr>
              <w:t>M&amp;E Officers</w:t>
            </w:r>
          </w:p>
        </w:tc>
        <w:tc>
          <w:tcPr>
            <w:tcW w:w="3022" w:type="dxa"/>
            <w:tcBorders>
              <w:top w:val="dotted" w:color="919191" w:sz="6" w:space="0"/>
              <w:left w:val="single" w:color="919191" w:sz="2" w:space="0"/>
              <w:bottom w:val="dotted" w:color="919191" w:sz="6" w:space="0"/>
              <w:right w:val="single" w:color="919191" w:sz="2" w:space="0"/>
            </w:tcBorders>
            <w:shd w:val="clear" w:color="auto" w:fill="DFDFDF"/>
            <w:tcMar>
              <w:top w:w="54" w:type="dxa"/>
              <w:left w:w="54" w:type="dxa"/>
              <w:bottom w:w="54" w:type="dxa"/>
              <w:right w:w="54" w:type="dxa"/>
            </w:tcMar>
          </w:tcPr>
          <w:p w14:paraId="06AEA76E">
            <w:pPr>
              <w:pStyle w:val="3"/>
              <w:numPr>
                <w:ilvl w:val="1"/>
                <w:numId w:val="136"/>
              </w:numPr>
            </w:pPr>
            <w:r>
              <w:rPr>
                <w:rFonts w:eastAsia="Arial Unicode MS" w:cs="Arial Unicode MS"/>
                <w:lang w:val="en-US"/>
              </w:rPr>
              <w:t xml:space="preserve">Compile, process, and analyse collected data </w:t>
            </w:r>
          </w:p>
          <w:p w14:paraId="7559DD95">
            <w:pPr>
              <w:pStyle w:val="3"/>
              <w:numPr>
                <w:ilvl w:val="1"/>
                <w:numId w:val="136"/>
              </w:numPr>
            </w:pPr>
            <w:r>
              <w:rPr>
                <w:rFonts w:eastAsia="Arial Unicode MS" w:cs="Arial Unicode MS"/>
                <w:lang w:val="en-US"/>
              </w:rPr>
              <w:t xml:space="preserve">Maintain and regularly update the institutional M&amp;E database </w:t>
            </w:r>
          </w:p>
          <w:p w14:paraId="139686EE">
            <w:pPr>
              <w:pStyle w:val="3"/>
              <w:numPr>
                <w:ilvl w:val="1"/>
                <w:numId w:val="136"/>
              </w:numPr>
            </w:pPr>
            <w:r>
              <w:rPr>
                <w:rFonts w:eastAsia="Arial Unicode MS" w:cs="Arial Unicode MS"/>
                <w:lang w:val="en-US"/>
              </w:rPr>
              <w:t xml:space="preserve">Produce routine and ad-hoc M&amp;E reports as required </w:t>
            </w:r>
          </w:p>
          <w:p w14:paraId="10C31E39">
            <w:pPr>
              <w:pStyle w:val="3"/>
              <w:numPr>
                <w:ilvl w:val="1"/>
                <w:numId w:val="136"/>
              </w:numPr>
            </w:pPr>
            <w:r>
              <w:rPr>
                <w:rFonts w:eastAsia="Arial Unicode MS" w:cs="Arial Unicode MS"/>
                <w:lang w:val="en-US"/>
              </w:rPr>
              <w:t xml:space="preserve">Create communication materials for information dissemination (presentations, newsletters, briefings) </w:t>
            </w:r>
          </w:p>
          <w:p w14:paraId="286B284E">
            <w:pPr>
              <w:pStyle w:val="3"/>
              <w:numPr>
                <w:ilvl w:val="1"/>
                <w:numId w:val="136"/>
              </w:numPr>
            </w:pPr>
            <w:r>
              <w:rPr>
                <w:rFonts w:eastAsia="Arial Unicode MS" w:cs="Arial Unicode MS"/>
                <w:lang w:val="en-US"/>
              </w:rPr>
              <w:t xml:space="preserve">Plan and participate in data quality assessments, internal evaluations, and survey activities </w:t>
            </w:r>
          </w:p>
          <w:p w14:paraId="31F609A2">
            <w:pPr>
              <w:pStyle w:val="3"/>
              <w:numPr>
                <w:ilvl w:val="1"/>
                <w:numId w:val="136"/>
              </w:numPr>
            </w:pPr>
            <w:r>
              <w:rPr>
                <w:rFonts w:eastAsia="Arial Unicode MS" w:cs="Arial Unicode MS"/>
                <w:lang w:val="en-US"/>
              </w:rPr>
              <w:t>Facilitate and provide support for external evaluation processes</w:t>
            </w:r>
          </w:p>
        </w:tc>
        <w:tc>
          <w:tcPr>
            <w:tcW w:w="3254" w:type="dxa"/>
            <w:tcBorders>
              <w:top w:val="dotted" w:color="919191" w:sz="6" w:space="0"/>
              <w:left w:val="single" w:color="919191" w:sz="2" w:space="0"/>
              <w:bottom w:val="dotted" w:color="919191" w:sz="6" w:space="0"/>
              <w:right w:val="nil"/>
            </w:tcBorders>
            <w:shd w:val="clear" w:color="auto" w:fill="DFDFDF"/>
            <w:tcMar>
              <w:top w:w="54" w:type="dxa"/>
              <w:left w:w="54" w:type="dxa"/>
              <w:bottom w:w="54" w:type="dxa"/>
              <w:right w:w="54" w:type="dxa"/>
            </w:tcMar>
          </w:tcPr>
          <w:p w14:paraId="46DC68C3">
            <w:pPr>
              <w:pStyle w:val="3"/>
              <w:numPr>
                <w:ilvl w:val="1"/>
                <w:numId w:val="137"/>
              </w:numPr>
            </w:pPr>
            <w:r>
              <w:rPr>
                <w:rFonts w:eastAsia="Arial Unicode MS" w:cs="Arial Unicode MS"/>
                <w:lang w:val="en-US"/>
              </w:rPr>
              <w:t>Data analysis and  interpretation</w:t>
            </w:r>
          </w:p>
          <w:p w14:paraId="10ABE3AC">
            <w:pPr>
              <w:pStyle w:val="3"/>
              <w:numPr>
                <w:ilvl w:val="1"/>
                <w:numId w:val="137"/>
              </w:numPr>
            </w:pPr>
            <w:r>
              <w:rPr>
                <w:rFonts w:eastAsia="Arial Unicode MS" w:cs="Arial Unicode MS"/>
                <w:lang w:val="en-US"/>
              </w:rPr>
              <w:t>Progress tracking and reporting</w:t>
            </w:r>
          </w:p>
          <w:p w14:paraId="2D4A075D">
            <w:pPr>
              <w:pStyle w:val="3"/>
              <w:numPr>
                <w:ilvl w:val="1"/>
                <w:numId w:val="137"/>
              </w:numPr>
            </w:pPr>
            <w:r>
              <w:rPr>
                <w:rFonts w:eastAsia="Arial Unicode MS" w:cs="Arial Unicode MS"/>
                <w:lang w:val="en-US"/>
              </w:rPr>
              <w:t>Evaluating project effectiveness</w:t>
            </w:r>
          </w:p>
          <w:p w14:paraId="0C095860">
            <w:pPr>
              <w:pStyle w:val="3"/>
              <w:numPr>
                <w:ilvl w:val="1"/>
                <w:numId w:val="137"/>
              </w:numPr>
            </w:pPr>
            <w:r>
              <w:rPr>
                <w:rFonts w:eastAsia="Arial Unicode MS" w:cs="Arial Unicode MS"/>
                <w:lang w:val="en-US"/>
              </w:rPr>
              <w:t xml:space="preserve">Evaluating project effectiveness </w:t>
            </w:r>
          </w:p>
          <w:p w14:paraId="5D900954">
            <w:pPr>
              <w:pStyle w:val="3"/>
              <w:numPr>
                <w:ilvl w:val="1"/>
                <w:numId w:val="137"/>
              </w:numPr>
            </w:pPr>
            <w:r>
              <w:rPr>
                <w:rFonts w:eastAsia="Arial Unicode MS" w:cs="Arial Unicode MS"/>
                <w:lang w:val="en-US"/>
              </w:rPr>
              <w:t>Communicating with stakeholders</w:t>
            </w:r>
          </w:p>
        </w:tc>
      </w:tr>
      <w:tr w14:paraId="766858F4">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4664" w:hRule="atLeast"/>
        </w:trPr>
        <w:tc>
          <w:tcPr>
            <w:tcW w:w="3082" w:type="dxa"/>
            <w:tcBorders>
              <w:top w:val="dotted" w:color="919191" w:sz="6" w:space="0"/>
              <w:left w:val="nil"/>
              <w:bottom w:val="dotted" w:color="919191" w:sz="6" w:space="0"/>
              <w:right w:val="single" w:color="919191" w:sz="2" w:space="0"/>
            </w:tcBorders>
            <w:shd w:val="clear" w:color="auto" w:fill="E1E1E1"/>
            <w:tcMar>
              <w:top w:w="54" w:type="dxa"/>
              <w:left w:w="54" w:type="dxa"/>
              <w:bottom w:w="54" w:type="dxa"/>
              <w:right w:w="54" w:type="dxa"/>
            </w:tcMar>
          </w:tcPr>
          <w:p w14:paraId="41408CDD">
            <w:pPr>
              <w:pStyle w:val="3"/>
              <w:numPr>
                <w:ilvl w:val="1"/>
                <w:numId w:val="138"/>
              </w:numPr>
            </w:pPr>
            <w:r>
              <w:rPr>
                <w:rFonts w:eastAsia="Arial Unicode MS" w:cs="Arial Unicode MS"/>
                <w:lang w:val="en-US"/>
              </w:rPr>
              <w:t>Project managers</w:t>
            </w:r>
          </w:p>
        </w:tc>
        <w:tc>
          <w:tcPr>
            <w:tcW w:w="3022"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6468D5C5">
            <w:pPr>
              <w:pStyle w:val="3"/>
              <w:numPr>
                <w:ilvl w:val="1"/>
                <w:numId w:val="139"/>
              </w:numPr>
            </w:pPr>
            <w:r>
              <w:rPr>
                <w:rFonts w:eastAsia="Arial Unicode MS" w:cs="Arial Unicode MS"/>
                <w:lang w:val="en-US"/>
              </w:rPr>
              <w:t xml:space="preserve">implement and utilise standardised data collection tools and reporting systems </w:t>
            </w:r>
          </w:p>
          <w:p w14:paraId="24DDDE74">
            <w:pPr>
              <w:pStyle w:val="3"/>
              <w:numPr>
                <w:ilvl w:val="1"/>
                <w:numId w:val="139"/>
              </w:numPr>
            </w:pPr>
            <w:r>
              <w:rPr>
                <w:rFonts w:eastAsia="Arial Unicode MS" w:cs="Arial Unicode MS"/>
                <w:lang w:val="en-US"/>
              </w:rPr>
              <w:t xml:space="preserve">Ensure timely submission of all required data </w:t>
            </w:r>
          </w:p>
          <w:p w14:paraId="6EABD397">
            <w:pPr>
              <w:pStyle w:val="3"/>
              <w:numPr>
                <w:ilvl w:val="1"/>
                <w:numId w:val="139"/>
              </w:numPr>
            </w:pPr>
            <w:r>
              <w:rPr>
                <w:rFonts w:eastAsia="Arial Unicode MS" w:cs="Arial Unicode MS"/>
                <w:lang w:val="en-US"/>
              </w:rPr>
              <w:t>Deliver accurate, complete, and verified data for all reporting requirements</w:t>
            </w:r>
          </w:p>
        </w:tc>
        <w:tc>
          <w:tcPr>
            <w:tcW w:w="3254"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54" w:type="dxa"/>
            </w:tcMar>
          </w:tcPr>
          <w:p w14:paraId="50E144AF">
            <w:pPr>
              <w:pStyle w:val="3"/>
              <w:numPr>
                <w:ilvl w:val="1"/>
                <w:numId w:val="140"/>
              </w:numPr>
            </w:pPr>
            <w:r>
              <w:rPr>
                <w:rFonts w:eastAsia="Arial Unicode MS" w:cs="Arial Unicode MS"/>
                <w:lang w:val="en-US"/>
              </w:rPr>
              <w:t>Track progress</w:t>
            </w:r>
          </w:p>
          <w:p w14:paraId="6D14DEF0">
            <w:pPr>
              <w:pStyle w:val="3"/>
              <w:numPr>
                <w:ilvl w:val="1"/>
                <w:numId w:val="140"/>
              </w:numPr>
            </w:pPr>
            <w:r>
              <w:rPr>
                <w:rFonts w:eastAsia="Arial Unicode MS" w:cs="Arial Unicode MS"/>
                <w:lang w:val="en-US"/>
              </w:rPr>
              <w:t>Identify areas of improvement</w:t>
            </w:r>
          </w:p>
          <w:p w14:paraId="54B99692">
            <w:pPr>
              <w:pStyle w:val="3"/>
              <w:numPr>
                <w:ilvl w:val="1"/>
                <w:numId w:val="140"/>
              </w:numPr>
            </w:pPr>
            <w:r>
              <w:rPr>
                <w:rFonts w:eastAsia="Arial Unicode MS" w:cs="Arial Unicode MS"/>
                <w:lang w:val="en-US"/>
              </w:rPr>
              <w:t>Make informed project decisions</w:t>
            </w:r>
          </w:p>
          <w:p w14:paraId="6ED242C4">
            <w:pPr>
              <w:pStyle w:val="3"/>
              <w:numPr>
                <w:ilvl w:val="1"/>
                <w:numId w:val="140"/>
              </w:numPr>
            </w:pPr>
            <w:r>
              <w:rPr>
                <w:rFonts w:eastAsia="Arial Unicode MS" w:cs="Arial Unicode MS"/>
                <w:lang w:val="en-US"/>
              </w:rPr>
              <w:t xml:space="preserve">Adjust project plans </w:t>
            </w:r>
          </w:p>
          <w:p w14:paraId="13585058">
            <w:pPr>
              <w:pStyle w:val="3"/>
              <w:numPr>
                <w:ilvl w:val="1"/>
                <w:numId w:val="140"/>
              </w:numPr>
            </w:pPr>
            <w:r>
              <w:rPr>
                <w:rFonts w:eastAsia="Arial Unicode MS" w:cs="Arial Unicode MS"/>
                <w:lang w:val="en-US"/>
              </w:rPr>
              <w:t>Evaluate effectiveness</w:t>
            </w:r>
          </w:p>
          <w:p w14:paraId="3E0EEC1A">
            <w:pPr>
              <w:pStyle w:val="3"/>
              <w:numPr>
                <w:ilvl w:val="1"/>
                <w:numId w:val="140"/>
              </w:numPr>
            </w:pPr>
            <w:r>
              <w:rPr>
                <w:rFonts w:eastAsia="Arial Unicode MS" w:cs="Arial Unicode MS"/>
                <w:lang w:val="en-US"/>
              </w:rPr>
              <w:t>Report to stakeholders</w:t>
            </w:r>
          </w:p>
          <w:p w14:paraId="5D847AC2">
            <w:pPr>
              <w:pStyle w:val="3"/>
              <w:numPr>
                <w:ilvl w:val="1"/>
                <w:numId w:val="140"/>
              </w:numPr>
            </w:pPr>
            <w:r>
              <w:rPr>
                <w:rFonts w:eastAsia="Arial Unicode MS" w:cs="Arial Unicode MS"/>
                <w:lang w:val="en-US"/>
              </w:rPr>
              <w:t>Improve accountability</w:t>
            </w:r>
          </w:p>
          <w:p w14:paraId="3E665219">
            <w:pPr>
              <w:pStyle w:val="3"/>
              <w:numPr>
                <w:ilvl w:val="1"/>
                <w:numId w:val="140"/>
              </w:numPr>
            </w:pPr>
            <w:r>
              <w:rPr>
                <w:rFonts w:eastAsia="Arial Unicode MS" w:cs="Arial Unicode MS"/>
                <w:lang w:val="en-US"/>
              </w:rPr>
              <w:t>learn and share information with stakeholders</w:t>
            </w:r>
          </w:p>
        </w:tc>
      </w:tr>
      <w:tr w14:paraId="33386723">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150" w:hRule="atLeast"/>
        </w:trPr>
        <w:tc>
          <w:tcPr>
            <w:tcW w:w="3082" w:type="dxa"/>
            <w:tcBorders>
              <w:top w:val="dotted" w:color="919191" w:sz="6" w:space="0"/>
              <w:left w:val="nil"/>
              <w:bottom w:val="dotted" w:color="919191" w:sz="6" w:space="0"/>
              <w:right w:val="single" w:color="919191" w:sz="2" w:space="0"/>
            </w:tcBorders>
            <w:shd w:val="clear" w:color="auto" w:fill="E1E1E1"/>
            <w:tcMar>
              <w:top w:w="54" w:type="dxa"/>
              <w:left w:w="54" w:type="dxa"/>
              <w:bottom w:w="54" w:type="dxa"/>
              <w:right w:w="54" w:type="dxa"/>
            </w:tcMar>
          </w:tcPr>
          <w:p w14:paraId="1C297A9C">
            <w:pPr>
              <w:pStyle w:val="3"/>
              <w:numPr>
                <w:ilvl w:val="1"/>
                <w:numId w:val="141"/>
              </w:numPr>
            </w:pPr>
            <w:r>
              <w:rPr>
                <w:rFonts w:eastAsia="Arial Unicode MS" w:cs="Arial Unicode MS"/>
                <w:lang w:val="en-US"/>
              </w:rPr>
              <w:t>Private Sector Partners</w:t>
            </w:r>
          </w:p>
        </w:tc>
        <w:tc>
          <w:tcPr>
            <w:tcW w:w="3022" w:type="dxa"/>
            <w:tcBorders>
              <w:top w:val="dotted" w:color="919191" w:sz="6" w:space="0"/>
              <w:left w:val="single" w:color="919191" w:sz="2" w:space="0"/>
              <w:bottom w:val="dotted" w:color="919191" w:sz="6" w:space="0"/>
              <w:right w:val="single" w:color="919191" w:sz="2" w:space="0"/>
            </w:tcBorders>
            <w:shd w:val="clear" w:color="auto" w:fill="DFDFDF"/>
            <w:tcMar>
              <w:top w:w="54" w:type="dxa"/>
              <w:left w:w="54" w:type="dxa"/>
              <w:bottom w:w="54" w:type="dxa"/>
              <w:right w:w="54" w:type="dxa"/>
            </w:tcMar>
          </w:tcPr>
          <w:p w14:paraId="7E5170C9">
            <w:pPr>
              <w:pStyle w:val="3"/>
              <w:numPr>
                <w:ilvl w:val="1"/>
                <w:numId w:val="142"/>
              </w:numPr>
            </w:pPr>
            <w:r>
              <w:rPr>
                <w:rFonts w:eastAsia="Arial Unicode MS" w:cs="Arial Unicode MS"/>
                <w:lang w:val="en-US"/>
              </w:rPr>
              <w:t>Deliver infrastructure projects and provide periodic progress updates</w:t>
            </w:r>
          </w:p>
          <w:p w14:paraId="1560BF1D">
            <w:pPr>
              <w:pStyle w:val="3"/>
              <w:numPr>
                <w:ilvl w:val="1"/>
                <w:numId w:val="142"/>
              </w:numPr>
            </w:pPr>
            <w:r>
              <w:rPr>
                <w:rFonts w:eastAsia="Arial Unicode MS" w:cs="Arial Unicode MS"/>
                <w:lang w:val="en-US"/>
              </w:rPr>
              <w:t>Ensure proper compliance and accountability</w:t>
            </w:r>
          </w:p>
        </w:tc>
        <w:tc>
          <w:tcPr>
            <w:tcW w:w="3254" w:type="dxa"/>
            <w:tcBorders>
              <w:top w:val="dotted" w:color="919191" w:sz="6" w:space="0"/>
              <w:left w:val="single" w:color="919191" w:sz="2" w:space="0"/>
              <w:bottom w:val="dotted" w:color="919191" w:sz="6" w:space="0"/>
              <w:right w:val="nil"/>
            </w:tcBorders>
            <w:shd w:val="clear" w:color="auto" w:fill="DFDFDF"/>
            <w:tcMar>
              <w:top w:w="54" w:type="dxa"/>
              <w:left w:w="54" w:type="dxa"/>
              <w:bottom w:w="54" w:type="dxa"/>
              <w:right w:w="54" w:type="dxa"/>
            </w:tcMar>
          </w:tcPr>
          <w:p w14:paraId="3B908B2F">
            <w:pPr>
              <w:pStyle w:val="3"/>
              <w:numPr>
                <w:ilvl w:val="1"/>
                <w:numId w:val="143"/>
              </w:numPr>
            </w:pPr>
            <w:r>
              <w:rPr>
                <w:rFonts w:eastAsia="Arial Unicode MS" w:cs="Arial Unicode MS"/>
                <w:lang w:val="en-US"/>
              </w:rPr>
              <w:t>Coordination of projects and processes; knowledge and resource sharing</w:t>
            </w:r>
          </w:p>
        </w:tc>
      </w:tr>
      <w:tr w14:paraId="2E29899E">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150" w:hRule="atLeast"/>
        </w:trPr>
        <w:tc>
          <w:tcPr>
            <w:tcW w:w="3082" w:type="dxa"/>
            <w:tcBorders>
              <w:top w:val="dotted" w:color="919191" w:sz="6" w:space="0"/>
              <w:left w:val="nil"/>
              <w:bottom w:val="dotted" w:color="919191" w:sz="6" w:space="0"/>
              <w:right w:val="single" w:color="919191" w:sz="2" w:space="0"/>
            </w:tcBorders>
            <w:shd w:val="clear" w:color="auto" w:fill="E1E1E1"/>
            <w:tcMar>
              <w:top w:w="54" w:type="dxa"/>
              <w:left w:w="54" w:type="dxa"/>
              <w:bottom w:w="54" w:type="dxa"/>
              <w:right w:w="54" w:type="dxa"/>
            </w:tcMar>
          </w:tcPr>
          <w:p w14:paraId="15D9741F">
            <w:pPr>
              <w:pStyle w:val="3"/>
              <w:numPr>
                <w:ilvl w:val="1"/>
                <w:numId w:val="144"/>
              </w:numPr>
            </w:pPr>
            <w:r>
              <w:rPr>
                <w:rFonts w:eastAsia="Arial Unicode MS" w:cs="Arial Unicode MS"/>
              </w:rPr>
              <w:t>Donors/Funders</w:t>
            </w:r>
          </w:p>
        </w:tc>
        <w:tc>
          <w:tcPr>
            <w:tcW w:w="3022" w:type="dxa"/>
            <w:tcBorders>
              <w:top w:val="dotted" w:color="919191" w:sz="6" w:space="0"/>
              <w:left w:val="single" w:color="919191" w:sz="2" w:space="0"/>
              <w:bottom w:val="dotted" w:color="919191" w:sz="6" w:space="0"/>
              <w:right w:val="single" w:color="919191" w:sz="2" w:space="0"/>
            </w:tcBorders>
            <w:shd w:val="clear" w:color="auto" w:fill="EEEEEE"/>
            <w:tcMar>
              <w:top w:w="54" w:type="dxa"/>
              <w:left w:w="54" w:type="dxa"/>
              <w:bottom w:w="54" w:type="dxa"/>
              <w:right w:w="54" w:type="dxa"/>
            </w:tcMar>
          </w:tcPr>
          <w:p w14:paraId="52488AE6">
            <w:pPr>
              <w:pStyle w:val="3"/>
              <w:numPr>
                <w:ilvl w:val="1"/>
                <w:numId w:val="145"/>
              </w:numPr>
            </w:pPr>
            <w:r>
              <w:rPr>
                <w:rFonts w:eastAsia="Arial Unicode MS" w:cs="Arial Unicode MS"/>
                <w:lang w:val="en-US"/>
              </w:rPr>
              <w:t>Provide financial support</w:t>
            </w:r>
          </w:p>
          <w:p w14:paraId="440577E4">
            <w:pPr>
              <w:pStyle w:val="3"/>
              <w:numPr>
                <w:ilvl w:val="1"/>
                <w:numId w:val="145"/>
              </w:numPr>
            </w:pPr>
            <w:r>
              <w:rPr>
                <w:rFonts w:eastAsia="Arial Unicode MS" w:cs="Arial Unicode MS"/>
                <w:lang w:val="en-US"/>
              </w:rPr>
              <w:t>Offer technical assistance, capacity building or expertise to support implementation</w:t>
            </w:r>
          </w:p>
        </w:tc>
        <w:tc>
          <w:tcPr>
            <w:tcW w:w="3254" w:type="dxa"/>
            <w:tcBorders>
              <w:top w:val="dotted" w:color="919191" w:sz="6" w:space="0"/>
              <w:left w:val="single" w:color="919191" w:sz="2" w:space="0"/>
              <w:bottom w:val="dotted" w:color="919191" w:sz="6" w:space="0"/>
              <w:right w:val="nil"/>
            </w:tcBorders>
            <w:shd w:val="clear" w:color="auto" w:fill="EEEEEE"/>
            <w:tcMar>
              <w:top w:w="54" w:type="dxa"/>
              <w:left w:w="54" w:type="dxa"/>
              <w:bottom w:w="54" w:type="dxa"/>
              <w:right w:w="54" w:type="dxa"/>
            </w:tcMar>
          </w:tcPr>
          <w:p w14:paraId="20D5339B">
            <w:pPr>
              <w:pStyle w:val="3"/>
              <w:numPr>
                <w:ilvl w:val="1"/>
                <w:numId w:val="146"/>
              </w:numPr>
            </w:pPr>
            <w:r>
              <w:rPr>
                <w:rFonts w:eastAsia="Arial Unicode MS" w:cs="Arial Unicode MS"/>
                <w:lang w:val="en-US"/>
              </w:rPr>
              <w:t>Knowledge of compliance and accountability and transparency procedures</w:t>
            </w:r>
          </w:p>
        </w:tc>
      </w:tr>
      <w:tr w14:paraId="22C6BEFD">
        <w:tblPrEx>
          <w:tblBorders>
            <w:top w:val="dotted" w:color="919191" w:sz="6" w:space="0"/>
            <w:left w:val="single" w:color="919191" w:sz="2" w:space="0"/>
            <w:bottom w:val="dotted" w:color="919191" w:sz="6" w:space="0"/>
            <w:right w:val="single" w:color="919191" w:sz="2" w:space="0"/>
            <w:insideH w:val="single" w:color="919191" w:sz="2" w:space="0"/>
            <w:insideV w:val="single" w:color="919191" w:sz="2" w:space="0"/>
          </w:tblBorders>
          <w:tblCellMar>
            <w:top w:w="0" w:type="dxa"/>
            <w:left w:w="108" w:type="dxa"/>
            <w:bottom w:w="0" w:type="dxa"/>
            <w:right w:w="108" w:type="dxa"/>
          </w:tblCellMar>
        </w:tblPrEx>
        <w:trPr>
          <w:trHeight w:val="2970" w:hRule="atLeast"/>
        </w:trPr>
        <w:tc>
          <w:tcPr>
            <w:tcW w:w="3082" w:type="dxa"/>
            <w:tcBorders>
              <w:top w:val="dotted" w:color="919191" w:sz="6" w:space="0"/>
              <w:left w:val="nil"/>
              <w:bottom w:val="nil"/>
              <w:right w:val="single" w:color="919191" w:sz="2" w:space="0"/>
            </w:tcBorders>
            <w:shd w:val="clear" w:color="auto" w:fill="E1E1E1"/>
            <w:tcMar>
              <w:top w:w="54" w:type="dxa"/>
              <w:left w:w="54" w:type="dxa"/>
              <w:bottom w:w="54" w:type="dxa"/>
              <w:right w:w="54" w:type="dxa"/>
            </w:tcMar>
          </w:tcPr>
          <w:p w14:paraId="0A9130BE">
            <w:pPr>
              <w:pStyle w:val="3"/>
              <w:numPr>
                <w:ilvl w:val="1"/>
                <w:numId w:val="147"/>
              </w:numPr>
            </w:pPr>
            <w:r>
              <w:rPr>
                <w:rFonts w:eastAsia="Arial Unicode MS" w:cs="Arial Unicode MS"/>
                <w:lang w:val="en-US"/>
              </w:rPr>
              <w:t>Independent Auditors and Evaluators</w:t>
            </w:r>
          </w:p>
        </w:tc>
        <w:tc>
          <w:tcPr>
            <w:tcW w:w="3022" w:type="dxa"/>
            <w:tcBorders>
              <w:top w:val="dotted" w:color="919191" w:sz="6" w:space="0"/>
              <w:left w:val="single" w:color="919191" w:sz="2" w:space="0"/>
              <w:bottom w:val="nil"/>
              <w:right w:val="single" w:color="919191" w:sz="2" w:space="0"/>
            </w:tcBorders>
            <w:shd w:val="clear" w:color="auto" w:fill="DFDFDF"/>
            <w:tcMar>
              <w:top w:w="54" w:type="dxa"/>
              <w:left w:w="54" w:type="dxa"/>
              <w:bottom w:w="54" w:type="dxa"/>
              <w:right w:w="54" w:type="dxa"/>
            </w:tcMar>
          </w:tcPr>
          <w:p w14:paraId="7F07A14B">
            <w:pPr>
              <w:pStyle w:val="3"/>
              <w:numPr>
                <w:ilvl w:val="1"/>
                <w:numId w:val="148"/>
              </w:numPr>
            </w:pPr>
            <w:r>
              <w:rPr>
                <w:rFonts w:eastAsia="Arial Unicode MS" w:cs="Arial Unicode MS"/>
                <w:lang w:val="en-US"/>
              </w:rPr>
              <w:t>Conduct baseline, mid-line and end-line projects evaluations and process reviews</w:t>
            </w:r>
          </w:p>
          <w:p w14:paraId="62C3A3E5">
            <w:pPr>
              <w:pStyle w:val="3"/>
              <w:numPr>
                <w:ilvl w:val="1"/>
                <w:numId w:val="148"/>
              </w:numPr>
            </w:pPr>
            <w:r>
              <w:rPr>
                <w:rFonts w:eastAsia="Arial Unicode MS" w:cs="Arial Unicode MS"/>
                <w:lang w:val="en-US"/>
              </w:rPr>
              <w:t>Prepare and submit clear reports to university management</w:t>
            </w:r>
          </w:p>
        </w:tc>
        <w:tc>
          <w:tcPr>
            <w:tcW w:w="3254" w:type="dxa"/>
            <w:tcBorders>
              <w:top w:val="dotted" w:color="919191" w:sz="6" w:space="0"/>
              <w:left w:val="single" w:color="919191" w:sz="2" w:space="0"/>
              <w:bottom w:val="nil"/>
              <w:right w:val="nil"/>
            </w:tcBorders>
            <w:shd w:val="clear" w:color="auto" w:fill="DFDFDF"/>
            <w:tcMar>
              <w:top w:w="54" w:type="dxa"/>
              <w:left w:w="54" w:type="dxa"/>
              <w:bottom w:w="54" w:type="dxa"/>
              <w:right w:w="54" w:type="dxa"/>
            </w:tcMar>
          </w:tcPr>
          <w:p w14:paraId="06736661">
            <w:pPr>
              <w:pStyle w:val="3"/>
              <w:numPr>
                <w:ilvl w:val="1"/>
                <w:numId w:val="149"/>
              </w:numPr>
            </w:pPr>
            <w:r>
              <w:rPr>
                <w:rFonts w:eastAsia="Arial Unicode MS" w:cs="Arial Unicode MS"/>
                <w:lang w:val="en-US"/>
              </w:rPr>
              <w:t>Assessing project performance</w:t>
            </w:r>
          </w:p>
          <w:p w14:paraId="142B5715">
            <w:pPr>
              <w:pStyle w:val="3"/>
              <w:numPr>
                <w:ilvl w:val="1"/>
                <w:numId w:val="149"/>
              </w:numPr>
            </w:pPr>
            <w:r>
              <w:rPr>
                <w:rFonts w:eastAsia="Arial Unicode MS" w:cs="Arial Unicode MS"/>
                <w:lang w:val="en-US"/>
              </w:rPr>
              <w:t>Verifying financial accountability</w:t>
            </w:r>
          </w:p>
          <w:p w14:paraId="5DB86AD0">
            <w:pPr>
              <w:pStyle w:val="3"/>
              <w:numPr>
                <w:ilvl w:val="1"/>
                <w:numId w:val="149"/>
              </w:numPr>
            </w:pPr>
            <w:r>
              <w:rPr>
                <w:rFonts w:eastAsia="Arial Unicode MS" w:cs="Arial Unicode MS"/>
                <w:lang w:val="en-US"/>
              </w:rPr>
              <w:t>Evaluating impact</w:t>
            </w:r>
          </w:p>
          <w:p w14:paraId="06E69185">
            <w:pPr>
              <w:pStyle w:val="3"/>
              <w:numPr>
                <w:ilvl w:val="1"/>
                <w:numId w:val="149"/>
              </w:numPr>
            </w:pPr>
            <w:r>
              <w:rPr>
                <w:rFonts w:eastAsia="Arial Unicode MS" w:cs="Arial Unicode MS"/>
                <w:lang w:val="en-US"/>
              </w:rPr>
              <w:t xml:space="preserve">Providing assurance </w:t>
            </w:r>
          </w:p>
          <w:p w14:paraId="56695AA1">
            <w:pPr>
              <w:pStyle w:val="3"/>
              <w:numPr>
                <w:ilvl w:val="1"/>
                <w:numId w:val="149"/>
              </w:numPr>
            </w:pPr>
            <w:r>
              <w:rPr>
                <w:rFonts w:eastAsia="Arial Unicode MS" w:cs="Arial Unicode MS"/>
                <w:lang w:val="en-US"/>
              </w:rPr>
              <w:t>Identifying areas of improvement</w:t>
            </w:r>
          </w:p>
        </w:tc>
      </w:tr>
    </w:tbl>
    <w:p w14:paraId="3D99A3FC">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p w14:paraId="4A34DD9A">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rPr>
          <w:rFonts w:ascii="Times New Roman" w:hAnsi="Times New Roman" w:eastAsia="Times New Roman" w:cs="Times New Roman"/>
          <w:sz w:val="24"/>
          <w:szCs w:val="24"/>
        </w:rPr>
      </w:pPr>
    </w:p>
    <w:bookmarkEnd w:id="0"/>
    <w:p w14:paraId="69263BBA">
      <w:pPr>
        <w:pStyle w:val="2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0" w:line="360" w:lineRule="auto"/>
        <w:ind w:right="140"/>
        <w:jc w:val="both"/>
      </w:pPr>
    </w:p>
    <w:sectPr>
      <w:headerReference r:id="rId3" w:type="default"/>
      <w:footerReference r:id="rId4" w:type="default"/>
      <w:footerReference r:id="rId5" w:type="even"/>
      <w:pgSz w:w="11900" w:h="16840"/>
      <w:pgMar w:top="1080" w:right="1200" w:bottom="1800" w:left="1200" w:header="720" w:footer="104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Arial Unicode MS">
    <w:panose1 w:val="020B0604020202020204"/>
    <w:charset w:val="80"/>
    <w:family w:val="swiss"/>
    <w:pitch w:val="default"/>
    <w:sig w:usb0="FFFFFFFF" w:usb1="E9FFFFFF" w:usb2="0000003F" w:usb3="00000000" w:csb0="603F01FF" w:csb1="FFFF0000"/>
  </w:font>
  <w:font w:name="Helvetica Neue">
    <w:altName w:val="Times New Roman"/>
    <w:panose1 w:val="02000503000000020004"/>
    <w:charset w:val="00"/>
    <w:family w:val="auto"/>
    <w:pitch w:val="default"/>
    <w:sig w:usb0="00000000" w:usb1="00000000" w:usb2="00000010" w:usb3="00000000" w:csb0="00000001" w:csb1="00000000"/>
  </w:font>
  <w:font w:name="Helvetica Neue Light">
    <w:altName w:val="Yu Gothic UI Semilight"/>
    <w:panose1 w:val="02000403000000020004"/>
    <w:charset w:val="00"/>
    <w:family w:val="auto"/>
    <w:pitch w:val="default"/>
    <w:sig w:usb0="00000000" w:usb1="00000000" w:usb2="00000002" w:usb3="00000000" w:csb0="00000007" w:csb1="00000000"/>
  </w:font>
  <w:font w:name="Segoe UI">
    <w:panose1 w:val="020B0502040204020203"/>
    <w:charset w:val="00"/>
    <w:family w:val="swiss"/>
    <w:pitch w:val="default"/>
    <w:sig w:usb0="E4002EFF" w:usb1="C000E47F" w:usb2="00000009" w:usb3="00000000" w:csb0="200001FF" w:csb1="00000000"/>
  </w:font>
  <w:font w:name="Helvetica Neue UltraLight">
    <w:altName w:val="Yu Gothic UI Light"/>
    <w:panose1 w:val="02000206000000020004"/>
    <w:charset w:val="00"/>
    <w:family w:val="auto"/>
    <w:pitch w:val="default"/>
    <w:sig w:usb0="00000000" w:usb1="00000000" w:usb2="00000002" w:usb3="00000000" w:csb0="00000001" w:csb1="00000000"/>
  </w:font>
  <w:font w:name="Helvetica Neue Medium">
    <w:altName w:val="Segoe Print"/>
    <w:panose1 w:val="020B0604020202020204"/>
    <w:charset w:val="4D"/>
    <w:family w:val="swiss"/>
    <w:pitch w:val="default"/>
    <w:sig w:usb0="00000000" w:usb1="00000000" w:usb2="00000002" w:usb3="00000000" w:csb0="0000009B" w:csb1="00000000"/>
  </w:font>
  <w:font w:name="Segoe Print">
    <w:panose1 w:val="02000600000000000000"/>
    <w:charset w:val="00"/>
    <w:family w:val="auto"/>
    <w:pitch w:val="default"/>
    <w:sig w:usb0="0000028F" w:usb1="00000000" w:usb2="00000000" w:usb3="00000000" w:csb0="2000009F" w:csb1="47010000"/>
  </w:font>
  <w:font w:name="Yu Gothic UI Light">
    <w:panose1 w:val="020B0300000000000000"/>
    <w:charset w:val="80"/>
    <w:family w:val="auto"/>
    <w:pitch w:val="default"/>
    <w:sig w:usb0="E00002FF" w:usb1="2AC7FDFF" w:usb2="00000016" w:usb3="00000000" w:csb0="2002009F" w:csb1="00000000"/>
  </w:font>
  <w:font w:name="Yu Gothic UI Semilight">
    <w:panose1 w:val="020B0400000000000000"/>
    <w:charset w:val="80"/>
    <w:family w:val="auto"/>
    <w:pitch w:val="default"/>
    <w:sig w:usb0="E00002FF" w:usb1="2AC7FDFF" w:usb2="00000016" w:usb3="00000000" w:csb0="2002009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3"/>
      </w:rPr>
      <w:id w:val="-478915130"/>
      <w:docPartObj>
        <w:docPartGallery w:val="autotext"/>
      </w:docPartObj>
    </w:sdtPr>
    <w:sdtEndPr>
      <w:rPr>
        <w:rStyle w:val="13"/>
      </w:rPr>
    </w:sdtEndPr>
    <w:sdtContent>
      <w:p w14:paraId="3043DA17">
        <w:pPr>
          <w:pStyle w:val="11"/>
          <w:framePr w:wrap="auto" w:vAnchor="text" w:hAnchor="margin" w:xAlign="right" w:y="1"/>
          <w:rPr>
            <w:rStyle w:val="13"/>
          </w:rPr>
        </w:pPr>
        <w:r>
          <w:rPr>
            <w:rStyle w:val="13"/>
          </w:rPr>
          <w:fldChar w:fldCharType="begin"/>
        </w:r>
        <w:r>
          <w:rPr>
            <w:rStyle w:val="13"/>
          </w:rPr>
          <w:instrText xml:space="preserve"> PAGE </w:instrText>
        </w:r>
        <w:r>
          <w:rPr>
            <w:rStyle w:val="13"/>
          </w:rPr>
          <w:fldChar w:fldCharType="separate"/>
        </w:r>
        <w:r>
          <w:rPr>
            <w:rStyle w:val="13"/>
          </w:rPr>
          <w:t>101</w:t>
        </w:r>
        <w:r>
          <w:rPr>
            <w:rStyle w:val="13"/>
          </w:rPr>
          <w:fldChar w:fldCharType="end"/>
        </w:r>
      </w:p>
    </w:sdtContent>
  </w:sdt>
  <w:p w14:paraId="36127282">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3"/>
      </w:rPr>
      <w:id w:val="-1306313433"/>
      <w:docPartObj>
        <w:docPartGallery w:val="autotext"/>
      </w:docPartObj>
    </w:sdtPr>
    <w:sdtEndPr>
      <w:rPr>
        <w:rStyle w:val="13"/>
      </w:rPr>
    </w:sdtEndPr>
    <w:sdtContent>
      <w:p w14:paraId="5CF5BA65">
        <w:pPr>
          <w:pStyle w:val="11"/>
          <w:framePr w:wrap="auto" w:vAnchor="text" w:hAnchor="margin" w:xAlign="right" w:y="1"/>
          <w:rPr>
            <w:rStyle w:val="13"/>
          </w:rPr>
        </w:pPr>
        <w:r>
          <w:rPr>
            <w:rStyle w:val="13"/>
          </w:rPr>
          <w:fldChar w:fldCharType="begin"/>
        </w:r>
        <w:r>
          <w:rPr>
            <w:rStyle w:val="13"/>
          </w:rPr>
          <w:instrText xml:space="preserve"> PAGE </w:instrText>
        </w:r>
        <w:r>
          <w:rPr>
            <w:rStyle w:val="13"/>
          </w:rPr>
          <w:fldChar w:fldCharType="end"/>
        </w:r>
      </w:p>
    </w:sdtContent>
  </w:sdt>
  <w:p w14:paraId="59FCA588">
    <w:pPr>
      <w:pStyle w:val="1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F6C69">
    <w:pPr>
      <w:pStyle w:val="21"/>
      <w:tabs>
        <w:tab w:val="center" w:pos="4750"/>
        <w:tab w:val="right" w:pos="9500"/>
        <w:tab w:val="clear" w:pos="9020"/>
      </w:tabs>
    </w:pPr>
    <w:r>
      <w:rPr>
        <w:rFonts w:ascii="Helvetica Neue" w:hAnsi="Helvetica Neue" w:eastAsia="Helvetica Neue" w:cs="Helvetica Neue"/>
        <w:i/>
        <w:iCs/>
        <w:sz w:val="16"/>
        <w:szCs w:val="16"/>
        <w:lang w:eastAsia="en-US"/>
      </w:rPr>
      <mc:AlternateContent>
        <mc:Choice Requires="wps">
          <w:drawing>
            <wp:anchor distT="152400" distB="152400" distL="152400" distR="152400" simplePos="0" relativeHeight="251659264" behindDoc="1" locked="0" layoutInCell="1" allowOverlap="1">
              <wp:simplePos x="0" y="0"/>
              <wp:positionH relativeFrom="page">
                <wp:posOffset>762000</wp:posOffset>
              </wp:positionH>
              <wp:positionV relativeFrom="page">
                <wp:posOffset>9804400</wp:posOffset>
              </wp:positionV>
              <wp:extent cx="6030595" cy="0"/>
              <wp:effectExtent l="0" t="0" r="0" b="0"/>
              <wp:wrapNone/>
              <wp:docPr id="1073741825" name="officeArt object" descr="Line"/>
              <wp:cNvGraphicFramePr/>
              <a:graphic xmlns:a="http://schemas.openxmlformats.org/drawingml/2006/main">
                <a:graphicData uri="http://schemas.microsoft.com/office/word/2010/wordprocessingShape">
                  <wps:wsp>
                    <wps:cNvCnPr/>
                    <wps:spPr>
                      <a:xfrm>
                        <a:off x="0" y="0"/>
                        <a:ext cx="6030791" cy="3"/>
                      </a:xfrm>
                      <a:prstGeom prst="line">
                        <a:avLst/>
                      </a:prstGeom>
                      <a:noFill/>
                      <a:ln w="12700" cap="flat">
                        <a:solidFill>
                          <a:schemeClr val="accent1">
                            <a:hueOff val="0"/>
                            <a:satOff val="11385"/>
                            <a:lumOff val="-23236"/>
                          </a:schemeClr>
                        </a:solidFill>
                        <a:prstDash val="solid"/>
                        <a:miter lim="400000"/>
                      </a:ln>
                      <a:effectLst/>
                    </wps:spPr>
                    <wps:bodyPr/>
                  </wps:wsp>
                </a:graphicData>
              </a:graphic>
            </wp:anchor>
          </w:drawing>
        </mc:Choice>
        <mc:Fallback>
          <w:pict>
            <v:line id="officeArt object" o:spid="_x0000_s1026" o:spt="20" alt="Line" style="position:absolute;left:0pt;margin-left:60pt;margin-top:772pt;height:0pt;width:474.85pt;mso-position-horizontal-relative:page;mso-position-vertical-relative:page;z-index:-251657216;mso-width-relative:page;mso-height-relative:page;" filled="f" stroked="t" coordsize="21600,21600" o:gfxdata="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jYdqP2AAAAA4BAAAPAAAAAAAAAAEAIAAAACIAAABkcnMvZG93bnJl&#10;di54bWxQSwECFAAUAAAACACHTuJAUtRuIv0BAAAMBAAADgAAAAAAAAABACAAAAAnAQAAZHJzL2Uy&#10;b0RvYy54bWxQSwUGAAAAAAYABgBZAQAAlgUAAAAA&#10;">
              <v:fill on="f" focussize="0,0"/>
              <v:stroke weight="1pt" color="#3688A2 [3204]" miterlimit="4" joinstyle="miter"/>
              <v:imagedata o:title=""/>
              <o:lock v:ext="edit" aspectratio="f"/>
            </v:line>
          </w:pict>
        </mc:Fallback>
      </mc:AlternateContent>
    </w:r>
    <w:r>
      <w:rPr>
        <w:rFonts w:ascii="Helvetica Neue" w:hAnsi="Helvetica Neue"/>
        <w:i/>
        <w:iCs/>
        <w:sz w:val="16"/>
        <w:szCs w:val="16"/>
      </w:rPr>
      <w:t>UNN PPP POLICY DRAFT</w:t>
    </w:r>
    <w:r>
      <w:rPr>
        <w:rFonts w:ascii="Helvetica Neue" w:hAnsi="Helvetica Neue" w:eastAsia="Helvetica Neue" w:cs="Helvetica Neue"/>
        <w:i/>
        <w:iCs/>
        <w:sz w:val="16"/>
        <w:szCs w:val="16"/>
      </w:rPr>
      <w:tab/>
    </w:r>
    <w:r>
      <w:rPr>
        <w:rFonts w:ascii="Helvetica Neue" w:hAnsi="Helvetica Neue" w:eastAsia="Helvetica Neue" w:cs="Helvetica Neue"/>
        <w:i/>
        <w:iCs/>
        <w:sz w:val="16"/>
        <w:szCs w:val="16"/>
      </w:rPr>
      <w:tab/>
    </w:r>
    <w:r>
      <w:rPr>
        <w:rFonts w:eastAsia="Helvetica Neue Medium" w:cs="Helvetica Neue Medium"/>
      </w:rPr>
      <w:fldChar w:fldCharType="begin"/>
    </w:r>
    <w:r>
      <w:rPr>
        <w:rFonts w:eastAsia="Helvetica Neue Medium" w:cs="Helvetica Neue Medium"/>
      </w:rPr>
      <w:instrText xml:space="preserve"> PAGE </w:instrText>
    </w:r>
    <w:r>
      <w:rPr>
        <w:rFonts w:eastAsia="Helvetica Neue Medium" w:cs="Helvetica Neue Medium"/>
      </w:rPr>
      <w:fldChar w:fldCharType="separate"/>
    </w:r>
    <w:r>
      <w:rPr>
        <w:rFonts w:eastAsia="Helvetica Neue Medium" w:cs="Helvetica Neue Medium"/>
      </w:rPr>
      <w:t>25</w:t>
    </w:r>
    <w:r>
      <w:rPr>
        <w:rFonts w:eastAsia="Helvetica Neue Medium" w:cs="Helvetica Neue Medium"/>
      </w:rPr>
      <w:fldChar w:fldCharType="end"/>
    </w:r>
    <w:r>
      <w:t xml:space="preserve"> of </w:t>
    </w:r>
    <w:r>
      <w:rPr>
        <w:rFonts w:eastAsia="Helvetica Neue Medium" w:cs="Helvetica Neue Medium"/>
      </w:rPr>
      <w:fldChar w:fldCharType="begin"/>
    </w:r>
    <w:r>
      <w:rPr>
        <w:rFonts w:eastAsia="Helvetica Neue Medium" w:cs="Helvetica Neue Medium"/>
      </w:rPr>
      <w:instrText xml:space="preserve"> NUMPAGES </w:instrText>
    </w:r>
    <w:r>
      <w:rPr>
        <w:rFonts w:eastAsia="Helvetica Neue Medium" w:cs="Helvetica Neue Medium"/>
      </w:rPr>
      <w:fldChar w:fldCharType="separate"/>
    </w:r>
    <w:r>
      <w:rPr>
        <w:rFonts w:eastAsia="Helvetica Neue Medium" w:cs="Helvetica Neue Medium"/>
      </w:rPr>
      <w:t>136</w:t>
    </w:r>
    <w:r>
      <w:rPr>
        <w:rFonts w:eastAsia="Helvetica Neue Medium" w:cs="Helvetica Neue Medium"/>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A9124B"/>
    <w:multiLevelType w:val="multilevel"/>
    <w:tmpl w:val="00A9124B"/>
    <w:lvl w:ilvl="0" w:tentative="0">
      <w:start w:val="1"/>
      <w:numFmt w:val="bullet"/>
      <w:lvlText w:val="•"/>
      <w:lvlJc w:val="left"/>
      <w:pPr>
        <w:ind w:left="259" w:hanging="259"/>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417" w:hanging="417"/>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417" w:hanging="417"/>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417" w:hanging="417"/>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417" w:hanging="417"/>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417" w:hanging="417"/>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417" w:hanging="417"/>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417" w:hanging="417"/>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417" w:hanging="417"/>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1">
    <w:nsid w:val="00E32CB3"/>
    <w:multiLevelType w:val="multilevel"/>
    <w:tmpl w:val="00E32CB3"/>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2">
    <w:nsid w:val="01066758"/>
    <w:multiLevelType w:val="multilevel"/>
    <w:tmpl w:val="01066758"/>
    <w:lvl w:ilvl="0" w:tentative="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decimal"/>
      <w:lvlText w:val="%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decimal"/>
      <w:lvlText w:val="%3."/>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011C4898"/>
    <w:multiLevelType w:val="multilevel"/>
    <w:tmpl w:val="011C4898"/>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4">
    <w:nsid w:val="0221677C"/>
    <w:multiLevelType w:val="multilevel"/>
    <w:tmpl w:val="0221677C"/>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94" w:hanging="394"/>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94" w:hanging="394"/>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94" w:hanging="394"/>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94" w:hanging="394"/>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94" w:hanging="394"/>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94" w:hanging="394"/>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94" w:hanging="394"/>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94" w:hanging="394"/>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5">
    <w:nsid w:val="04554E96"/>
    <w:multiLevelType w:val="multilevel"/>
    <w:tmpl w:val="04554E96"/>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6">
    <w:nsid w:val="04A26216"/>
    <w:multiLevelType w:val="multilevel"/>
    <w:tmpl w:val="04A26216"/>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7">
    <w:nsid w:val="060B0BE9"/>
    <w:multiLevelType w:val="multilevel"/>
    <w:tmpl w:val="060B0BE9"/>
    <w:lvl w:ilvl="0" w:tentative="0">
      <w:start w:val="1"/>
      <w:numFmt w:val="decimal"/>
      <w:lvlText w:val="%1."/>
      <w:lvlJc w:val="left"/>
      <w:pPr>
        <w:tabs>
          <w:tab w:val="left" w:pos="432"/>
          <w:tab w:val="left" w:pos="1440"/>
          <w:tab w:val="left" w:pos="1680"/>
          <w:tab w:val="left" w:pos="2240"/>
          <w:tab w:val="left" w:pos="2800"/>
          <w:tab w:val="left" w:pos="3360"/>
          <w:tab w:val="left" w:pos="3920"/>
        </w:tabs>
        <w:ind w:left="455" w:hanging="455"/>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decimal"/>
      <w:lvlText w:val="%2."/>
      <w:lvlJc w:val="left"/>
      <w:pPr>
        <w:tabs>
          <w:tab w:val="left" w:pos="360"/>
          <w:tab w:val="left" w:pos="1440"/>
          <w:tab w:val="left" w:pos="1680"/>
          <w:tab w:val="left" w:pos="2240"/>
          <w:tab w:val="left" w:pos="2800"/>
          <w:tab w:val="left" w:pos="3360"/>
          <w:tab w:val="left" w:pos="3920"/>
        </w:tabs>
        <w:ind w:left="383" w:hanging="383"/>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entative="0">
      <w:start w:val="1"/>
      <w:numFmt w:val="decimal"/>
      <w:lvlText w:val="%3."/>
      <w:lvlJc w:val="left"/>
      <w:pPr>
        <w:tabs>
          <w:tab w:val="left" w:pos="360"/>
          <w:tab w:val="left" w:pos="1440"/>
          <w:tab w:val="left" w:pos="1680"/>
          <w:tab w:val="left" w:pos="2240"/>
          <w:tab w:val="left" w:pos="2800"/>
          <w:tab w:val="left" w:pos="3360"/>
          <w:tab w:val="left" w:pos="3920"/>
        </w:tabs>
        <w:ind w:left="383" w:hanging="383"/>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tabs>
          <w:tab w:val="left" w:pos="360"/>
          <w:tab w:val="left" w:pos="1440"/>
          <w:tab w:val="left" w:pos="1680"/>
          <w:tab w:val="left" w:pos="2240"/>
          <w:tab w:val="left" w:pos="2800"/>
          <w:tab w:val="left" w:pos="3360"/>
          <w:tab w:val="left" w:pos="3920"/>
        </w:tabs>
        <w:ind w:left="383" w:hanging="383"/>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entative="0">
      <w:start w:val="1"/>
      <w:numFmt w:val="decimal"/>
      <w:lvlText w:val="%5."/>
      <w:lvlJc w:val="left"/>
      <w:pPr>
        <w:tabs>
          <w:tab w:val="left" w:pos="360"/>
          <w:tab w:val="left" w:pos="1440"/>
          <w:tab w:val="left" w:pos="1680"/>
          <w:tab w:val="left" w:pos="2240"/>
          <w:tab w:val="left" w:pos="2800"/>
          <w:tab w:val="left" w:pos="3360"/>
          <w:tab w:val="left" w:pos="3920"/>
        </w:tabs>
        <w:ind w:left="383" w:hanging="383"/>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entative="0">
      <w:start w:val="1"/>
      <w:numFmt w:val="decimal"/>
      <w:lvlText w:val="%6."/>
      <w:lvlJc w:val="left"/>
      <w:pPr>
        <w:tabs>
          <w:tab w:val="left" w:pos="360"/>
          <w:tab w:val="left" w:pos="1440"/>
          <w:tab w:val="left" w:pos="1680"/>
          <w:tab w:val="left" w:pos="2240"/>
          <w:tab w:val="left" w:pos="2800"/>
          <w:tab w:val="left" w:pos="3360"/>
          <w:tab w:val="left" w:pos="3920"/>
        </w:tabs>
        <w:ind w:left="383" w:hanging="383"/>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tabs>
          <w:tab w:val="left" w:pos="360"/>
          <w:tab w:val="left" w:pos="1440"/>
          <w:tab w:val="left" w:pos="1680"/>
          <w:tab w:val="left" w:pos="2240"/>
          <w:tab w:val="left" w:pos="2800"/>
          <w:tab w:val="left" w:pos="3360"/>
          <w:tab w:val="left" w:pos="3920"/>
        </w:tabs>
        <w:ind w:left="383" w:hanging="383"/>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entative="0">
      <w:start w:val="1"/>
      <w:numFmt w:val="decimal"/>
      <w:lvlText w:val="%8."/>
      <w:lvlJc w:val="left"/>
      <w:pPr>
        <w:tabs>
          <w:tab w:val="left" w:pos="360"/>
          <w:tab w:val="left" w:pos="1440"/>
          <w:tab w:val="left" w:pos="1680"/>
          <w:tab w:val="left" w:pos="2240"/>
          <w:tab w:val="left" w:pos="2800"/>
          <w:tab w:val="left" w:pos="3360"/>
          <w:tab w:val="left" w:pos="3920"/>
        </w:tabs>
        <w:ind w:left="383" w:hanging="383"/>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entative="0">
      <w:start w:val="1"/>
      <w:numFmt w:val="decimal"/>
      <w:lvlText w:val="%9."/>
      <w:lvlJc w:val="left"/>
      <w:pPr>
        <w:tabs>
          <w:tab w:val="left" w:pos="360"/>
          <w:tab w:val="left" w:pos="1440"/>
          <w:tab w:val="left" w:pos="1680"/>
          <w:tab w:val="left" w:pos="2240"/>
          <w:tab w:val="left" w:pos="2800"/>
          <w:tab w:val="left" w:pos="3360"/>
          <w:tab w:val="left" w:pos="3920"/>
        </w:tabs>
        <w:ind w:left="383" w:hanging="383"/>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07852123"/>
    <w:multiLevelType w:val="multilevel"/>
    <w:tmpl w:val="07852123"/>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9">
    <w:nsid w:val="08F978B8"/>
    <w:multiLevelType w:val="multilevel"/>
    <w:tmpl w:val="08F978B8"/>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106" w:hanging="1106"/>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106" w:hanging="1106"/>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106" w:hanging="1106"/>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106" w:hanging="1106"/>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106" w:hanging="1106"/>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106" w:hanging="1106"/>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106" w:hanging="1106"/>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106" w:hanging="1106"/>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10">
    <w:nsid w:val="0C827B07"/>
    <w:multiLevelType w:val="multilevel"/>
    <w:tmpl w:val="0C827B07"/>
    <w:lvl w:ilvl="0" w:tentative="0">
      <w:start w:val="1"/>
      <w:numFmt w:val="bullet"/>
      <w:lvlText w:val="•"/>
      <w:lvlJc w:val="left"/>
      <w:pPr>
        <w:ind w:left="259" w:hanging="259"/>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11">
    <w:nsid w:val="0D837E42"/>
    <w:multiLevelType w:val="multilevel"/>
    <w:tmpl w:val="0D837E42"/>
    <w:lvl w:ilvl="0" w:tentative="0">
      <w:start w:val="1"/>
      <w:numFmt w:val="bullet"/>
      <w:lvlText w:val="•"/>
      <w:lvlJc w:val="left"/>
      <w:pPr>
        <w:ind w:left="259" w:hanging="259"/>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12">
    <w:nsid w:val="109E2112"/>
    <w:multiLevelType w:val="multilevel"/>
    <w:tmpl w:val="109E2112"/>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13">
    <w:nsid w:val="12324383"/>
    <w:multiLevelType w:val="multilevel"/>
    <w:tmpl w:val="12324383"/>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58" w:hanging="105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58" w:hanging="105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58" w:hanging="105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58" w:hanging="105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58" w:hanging="105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58" w:hanging="105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58" w:hanging="105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58" w:hanging="105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14">
    <w:nsid w:val="12447612"/>
    <w:multiLevelType w:val="multilevel"/>
    <w:tmpl w:val="12447612"/>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106" w:hanging="1106"/>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106" w:hanging="1106"/>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106" w:hanging="1106"/>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106" w:hanging="1106"/>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106" w:hanging="1106"/>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106" w:hanging="1106"/>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106" w:hanging="1106"/>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106" w:hanging="1106"/>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15">
    <w:nsid w:val="154104E6"/>
    <w:multiLevelType w:val="multilevel"/>
    <w:tmpl w:val="154104E6"/>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16">
    <w:nsid w:val="15F2076A"/>
    <w:multiLevelType w:val="multilevel"/>
    <w:tmpl w:val="15F2076A"/>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17">
    <w:nsid w:val="169C0879"/>
    <w:multiLevelType w:val="multilevel"/>
    <w:tmpl w:val="169C0879"/>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18">
    <w:nsid w:val="16F60C93"/>
    <w:multiLevelType w:val="multilevel"/>
    <w:tmpl w:val="16F60C93"/>
    <w:lvl w:ilvl="0" w:tentative="0">
      <w:start w:val="1"/>
      <w:numFmt w:val="upp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upperLetter"/>
      <w:lvlText w:val="%3."/>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upp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upp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upp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upp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upp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upp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17FD7450"/>
    <w:multiLevelType w:val="multilevel"/>
    <w:tmpl w:val="17FD7450"/>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20">
    <w:nsid w:val="18400FE6"/>
    <w:multiLevelType w:val="multilevel"/>
    <w:tmpl w:val="18400FE6"/>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21">
    <w:nsid w:val="18DB3C42"/>
    <w:multiLevelType w:val="multilevel"/>
    <w:tmpl w:val="18DB3C42"/>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94" w:hanging="394"/>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94" w:hanging="394"/>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94" w:hanging="394"/>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94" w:hanging="394"/>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94" w:hanging="394"/>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94" w:hanging="394"/>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94" w:hanging="394"/>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94" w:hanging="394"/>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22">
    <w:nsid w:val="198D6CF2"/>
    <w:multiLevelType w:val="multilevel"/>
    <w:tmpl w:val="198D6CF2"/>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23">
    <w:nsid w:val="1AC076B6"/>
    <w:multiLevelType w:val="multilevel"/>
    <w:tmpl w:val="1AC076B6"/>
    <w:lvl w:ilvl="0" w:tentative="0">
      <w:start w:val="1"/>
      <w:numFmt w:val="bullet"/>
      <w:lvlText w:val="•"/>
      <w:lvlJc w:val="left"/>
      <w:pPr>
        <w:ind w:left="259" w:hanging="259"/>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24">
    <w:nsid w:val="1CF0492E"/>
    <w:multiLevelType w:val="multilevel"/>
    <w:tmpl w:val="1CF0492E"/>
    <w:lvl w:ilvl="0" w:tentative="0">
      <w:start w:val="1"/>
      <w:numFmt w:val="bullet"/>
      <w:lvlText w:val="•"/>
      <w:lvlJc w:val="left"/>
      <w:pPr>
        <w:ind w:left="259" w:hanging="259"/>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25">
    <w:nsid w:val="205353AB"/>
    <w:multiLevelType w:val="multilevel"/>
    <w:tmpl w:val="205353AB"/>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26">
    <w:nsid w:val="20E77429"/>
    <w:multiLevelType w:val="multilevel"/>
    <w:tmpl w:val="20E77429"/>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27">
    <w:nsid w:val="27425834"/>
    <w:multiLevelType w:val="multilevel"/>
    <w:tmpl w:val="27425834"/>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28">
    <w:nsid w:val="2A390BDD"/>
    <w:multiLevelType w:val="multilevel"/>
    <w:tmpl w:val="2A390BDD"/>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29">
    <w:nsid w:val="2ADD19DD"/>
    <w:multiLevelType w:val="multilevel"/>
    <w:tmpl w:val="2ADD19DD"/>
    <w:lvl w:ilvl="0" w:tentative="0">
      <w:start w:val="1"/>
      <w:numFmt w:val="bullet"/>
      <w:lvlText w:val="•"/>
      <w:lvlJc w:val="left"/>
      <w:pPr>
        <w:ind w:left="259" w:hanging="259"/>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30">
    <w:nsid w:val="2E411F3D"/>
    <w:multiLevelType w:val="multilevel"/>
    <w:tmpl w:val="2E411F3D"/>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31">
    <w:nsid w:val="2F0100F1"/>
    <w:multiLevelType w:val="multilevel"/>
    <w:tmpl w:val="2F0100F1"/>
    <w:lvl w:ilvl="0" w:tentative="0">
      <w:start w:val="1"/>
      <w:numFmt w:val="bullet"/>
      <w:lvlText w:val="•"/>
      <w:lvlJc w:val="left"/>
      <w:pPr>
        <w:ind w:left="259" w:hanging="259"/>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48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70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92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14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36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58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80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202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abstractNum>
  <w:abstractNum w:abstractNumId="32">
    <w:nsid w:val="30032DC5"/>
    <w:multiLevelType w:val="multilevel"/>
    <w:tmpl w:val="30032DC5"/>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200" w:hanging="12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200" w:hanging="12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200" w:hanging="12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200" w:hanging="12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200" w:hanging="12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200" w:hanging="12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200" w:hanging="12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200" w:hanging="12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33">
    <w:nsid w:val="30185309"/>
    <w:multiLevelType w:val="multilevel"/>
    <w:tmpl w:val="30185309"/>
    <w:lvl w:ilvl="0" w:tentative="0">
      <w:start w:val="1"/>
      <w:numFmt w:val="bullet"/>
      <w:lvlText w:val="•"/>
      <w:lvlJc w:val="left"/>
      <w:pPr>
        <w:ind w:left="259" w:hanging="259"/>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48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70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92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14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36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58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80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202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abstractNum>
  <w:abstractNum w:abstractNumId="34">
    <w:nsid w:val="30B24BD3"/>
    <w:multiLevelType w:val="multilevel"/>
    <w:tmpl w:val="30B24BD3"/>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35">
    <w:nsid w:val="319C765C"/>
    <w:multiLevelType w:val="multilevel"/>
    <w:tmpl w:val="319C765C"/>
    <w:lvl w:ilvl="0" w:tentative="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decimal"/>
      <w:lvlText w:val="%3."/>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nsid w:val="31FE2819"/>
    <w:multiLevelType w:val="multilevel"/>
    <w:tmpl w:val="31FE2819"/>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106" w:hanging="1106"/>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106" w:hanging="1106"/>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106" w:hanging="1106"/>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106" w:hanging="1106"/>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106" w:hanging="1106"/>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106" w:hanging="1106"/>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106" w:hanging="1106"/>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106" w:hanging="1106"/>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37">
    <w:nsid w:val="33B67F89"/>
    <w:multiLevelType w:val="multilevel"/>
    <w:tmpl w:val="33B67F89"/>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38">
    <w:nsid w:val="34414D53"/>
    <w:multiLevelType w:val="multilevel"/>
    <w:tmpl w:val="34414D53"/>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39">
    <w:nsid w:val="34B95FFD"/>
    <w:multiLevelType w:val="multilevel"/>
    <w:tmpl w:val="34B95FFD"/>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40">
    <w:nsid w:val="35460BED"/>
    <w:multiLevelType w:val="multilevel"/>
    <w:tmpl w:val="35460BED"/>
    <w:lvl w:ilvl="0" w:tentative="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decimal"/>
      <w:lvlText w:val="%2)"/>
      <w:lvlJc w:val="left"/>
      <w:pPr>
        <w:ind w:left="720" w:hanging="360"/>
      </w:pPr>
    </w:lvl>
    <w:lvl w:ilvl="2" w:tentative="0">
      <w:start w:val="1"/>
      <w:numFmt w:val="decimal"/>
      <w:lvlText w:val="%3."/>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nsid w:val="38A56215"/>
    <w:multiLevelType w:val="multilevel"/>
    <w:tmpl w:val="38A56215"/>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42">
    <w:nsid w:val="3E1456F6"/>
    <w:multiLevelType w:val="multilevel"/>
    <w:tmpl w:val="3E1456F6"/>
    <w:lvl w:ilvl="0" w:tentative="0">
      <w:start w:val="1"/>
      <w:numFmt w:val="bullet"/>
      <w:lvlText w:val="•"/>
      <w:lvlJc w:val="left"/>
      <w:pPr>
        <w:ind w:left="259" w:hanging="259"/>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43">
    <w:nsid w:val="3F3F08DF"/>
    <w:multiLevelType w:val="multilevel"/>
    <w:tmpl w:val="3F3F08DF"/>
    <w:lvl w:ilvl="0" w:tentative="0">
      <w:start w:val="1"/>
      <w:numFmt w:val="bullet"/>
      <w:lvlText w:val="•"/>
      <w:lvlJc w:val="left"/>
      <w:pPr>
        <w:ind w:left="259" w:hanging="259"/>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440" w:hanging="220"/>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70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92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14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36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58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80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202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abstractNum>
  <w:abstractNum w:abstractNumId="44">
    <w:nsid w:val="3FB420AB"/>
    <w:multiLevelType w:val="multilevel"/>
    <w:tmpl w:val="3FB420AB"/>
    <w:lvl w:ilvl="0" w:tentative="0">
      <w:start w:val="1"/>
      <w:numFmt w:val="bullet"/>
      <w:lvlText w:val="•"/>
      <w:lvlJc w:val="left"/>
      <w:pPr>
        <w:ind w:left="259" w:hanging="259"/>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45">
    <w:nsid w:val="408152DC"/>
    <w:multiLevelType w:val="multilevel"/>
    <w:tmpl w:val="408152DC"/>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46">
    <w:nsid w:val="4160493D"/>
    <w:multiLevelType w:val="multilevel"/>
    <w:tmpl w:val="4160493D"/>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47">
    <w:nsid w:val="420E42F2"/>
    <w:multiLevelType w:val="multilevel"/>
    <w:tmpl w:val="420E42F2"/>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48">
    <w:nsid w:val="42B97E23"/>
    <w:multiLevelType w:val="multilevel"/>
    <w:tmpl w:val="42B97E23"/>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49">
    <w:nsid w:val="439F729C"/>
    <w:multiLevelType w:val="multilevel"/>
    <w:tmpl w:val="439F729C"/>
    <w:lvl w:ilvl="0" w:tentative="0">
      <w:start w:val="1"/>
      <w:numFmt w:val="bullet"/>
      <w:lvlText w:val="•"/>
      <w:lvlJc w:val="left"/>
      <w:pPr>
        <w:ind w:left="259" w:hanging="259"/>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50">
    <w:nsid w:val="445A00A8"/>
    <w:multiLevelType w:val="multilevel"/>
    <w:tmpl w:val="445A00A8"/>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51">
    <w:nsid w:val="449B3077"/>
    <w:multiLevelType w:val="multilevel"/>
    <w:tmpl w:val="449B3077"/>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52">
    <w:nsid w:val="47CF0741"/>
    <w:multiLevelType w:val="multilevel"/>
    <w:tmpl w:val="47CF0741"/>
    <w:lvl w:ilvl="0" w:tentative="0">
      <w:start w:val="1"/>
      <w:numFmt w:val="bullet"/>
      <w:lvlText w:val="•"/>
      <w:lvlJc w:val="left"/>
      <w:pPr>
        <w:ind w:left="259" w:hanging="259"/>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53">
    <w:nsid w:val="47F25E02"/>
    <w:multiLevelType w:val="multilevel"/>
    <w:tmpl w:val="47F25E02"/>
    <w:lvl w:ilvl="0" w:tentative="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decimal"/>
      <w:lvlText w:val="%2)"/>
      <w:lvlJc w:val="left"/>
      <w:pPr>
        <w:ind w:left="720" w:hanging="360"/>
      </w:pPr>
    </w:lvl>
    <w:lvl w:ilvl="2" w:tentative="0">
      <w:start w:val="1"/>
      <w:numFmt w:val="decimal"/>
      <w:lvlText w:val="%3."/>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nsid w:val="488C78AA"/>
    <w:multiLevelType w:val="multilevel"/>
    <w:tmpl w:val="488C78AA"/>
    <w:lvl w:ilvl="0" w:tentative="0">
      <w:start w:val="1"/>
      <w:numFmt w:val="bullet"/>
      <w:lvlText w:val="•"/>
      <w:lvlJc w:val="left"/>
      <w:pPr>
        <w:ind w:left="259" w:hanging="259"/>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55">
    <w:nsid w:val="48F06D69"/>
    <w:multiLevelType w:val="multilevel"/>
    <w:tmpl w:val="48F06D69"/>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56">
    <w:nsid w:val="4A136F2E"/>
    <w:multiLevelType w:val="multilevel"/>
    <w:tmpl w:val="4A136F2E"/>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57">
    <w:nsid w:val="4B9E2FE1"/>
    <w:multiLevelType w:val="multilevel"/>
    <w:tmpl w:val="4B9E2FE1"/>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48" w:hanging="34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48" w:hanging="34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48" w:hanging="34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48" w:hanging="34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48" w:hanging="34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48" w:hanging="34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48" w:hanging="34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48" w:hanging="34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58">
    <w:nsid w:val="4C551431"/>
    <w:multiLevelType w:val="multilevel"/>
    <w:tmpl w:val="4C551431"/>
    <w:lvl w:ilvl="0" w:tentative="0">
      <w:start w:val="1"/>
      <w:numFmt w:val="decimal"/>
      <w:lvlText w:val="%1."/>
      <w:lvlJc w:val="left"/>
      <w:pPr>
        <w:tabs>
          <w:tab w:val="left" w:pos="432"/>
          <w:tab w:val="left" w:pos="1440"/>
          <w:tab w:val="left" w:pos="1680"/>
          <w:tab w:val="left" w:pos="2240"/>
          <w:tab w:val="left" w:pos="2800"/>
          <w:tab w:val="left" w:pos="3360"/>
          <w:tab w:val="left" w:pos="3920"/>
        </w:tabs>
        <w:ind w:left="455" w:hanging="455"/>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decimal"/>
      <w:lvlText w:val="%2."/>
      <w:lvlJc w:val="left"/>
      <w:pPr>
        <w:tabs>
          <w:tab w:val="left" w:pos="360"/>
          <w:tab w:val="left" w:pos="1440"/>
          <w:tab w:val="left" w:pos="1680"/>
          <w:tab w:val="left" w:pos="2240"/>
          <w:tab w:val="left" w:pos="2800"/>
          <w:tab w:val="left" w:pos="3360"/>
          <w:tab w:val="left" w:pos="3920"/>
        </w:tabs>
        <w:ind w:left="383" w:hanging="383"/>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entative="0">
      <w:start w:val="1"/>
      <w:numFmt w:val="decimal"/>
      <w:lvlText w:val="%3."/>
      <w:lvlJc w:val="left"/>
      <w:pPr>
        <w:tabs>
          <w:tab w:val="left" w:pos="360"/>
          <w:tab w:val="left" w:pos="1440"/>
          <w:tab w:val="left" w:pos="1680"/>
          <w:tab w:val="left" w:pos="2240"/>
          <w:tab w:val="left" w:pos="2800"/>
          <w:tab w:val="left" w:pos="3360"/>
          <w:tab w:val="left" w:pos="3920"/>
        </w:tabs>
        <w:ind w:left="383" w:hanging="383"/>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tabs>
          <w:tab w:val="left" w:pos="360"/>
          <w:tab w:val="left" w:pos="1440"/>
          <w:tab w:val="left" w:pos="1680"/>
          <w:tab w:val="left" w:pos="2240"/>
          <w:tab w:val="left" w:pos="2800"/>
          <w:tab w:val="left" w:pos="3360"/>
          <w:tab w:val="left" w:pos="3920"/>
        </w:tabs>
        <w:ind w:left="383" w:hanging="383"/>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entative="0">
      <w:start w:val="1"/>
      <w:numFmt w:val="decimal"/>
      <w:lvlText w:val="%5."/>
      <w:lvlJc w:val="left"/>
      <w:pPr>
        <w:tabs>
          <w:tab w:val="left" w:pos="360"/>
          <w:tab w:val="left" w:pos="1440"/>
          <w:tab w:val="left" w:pos="1680"/>
          <w:tab w:val="left" w:pos="2240"/>
          <w:tab w:val="left" w:pos="2800"/>
          <w:tab w:val="left" w:pos="3360"/>
          <w:tab w:val="left" w:pos="3920"/>
        </w:tabs>
        <w:ind w:left="383" w:hanging="383"/>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entative="0">
      <w:start w:val="1"/>
      <w:numFmt w:val="decimal"/>
      <w:lvlText w:val="%6."/>
      <w:lvlJc w:val="left"/>
      <w:pPr>
        <w:tabs>
          <w:tab w:val="left" w:pos="360"/>
          <w:tab w:val="left" w:pos="1440"/>
          <w:tab w:val="left" w:pos="1680"/>
          <w:tab w:val="left" w:pos="2240"/>
          <w:tab w:val="left" w:pos="2800"/>
          <w:tab w:val="left" w:pos="3360"/>
          <w:tab w:val="left" w:pos="3920"/>
        </w:tabs>
        <w:ind w:left="383" w:hanging="383"/>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tabs>
          <w:tab w:val="left" w:pos="360"/>
          <w:tab w:val="left" w:pos="1440"/>
          <w:tab w:val="left" w:pos="1680"/>
          <w:tab w:val="left" w:pos="2240"/>
          <w:tab w:val="left" w:pos="2800"/>
          <w:tab w:val="left" w:pos="3360"/>
          <w:tab w:val="left" w:pos="3920"/>
        </w:tabs>
        <w:ind w:left="383" w:hanging="383"/>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entative="0">
      <w:start w:val="1"/>
      <w:numFmt w:val="decimal"/>
      <w:lvlText w:val="%8."/>
      <w:lvlJc w:val="left"/>
      <w:pPr>
        <w:tabs>
          <w:tab w:val="left" w:pos="360"/>
          <w:tab w:val="left" w:pos="1440"/>
          <w:tab w:val="left" w:pos="1680"/>
          <w:tab w:val="left" w:pos="2240"/>
          <w:tab w:val="left" w:pos="2800"/>
          <w:tab w:val="left" w:pos="3360"/>
          <w:tab w:val="left" w:pos="3920"/>
        </w:tabs>
        <w:ind w:left="383" w:hanging="383"/>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entative="0">
      <w:start w:val="1"/>
      <w:numFmt w:val="decimal"/>
      <w:lvlText w:val="%9."/>
      <w:lvlJc w:val="left"/>
      <w:pPr>
        <w:tabs>
          <w:tab w:val="left" w:pos="360"/>
          <w:tab w:val="left" w:pos="1440"/>
          <w:tab w:val="left" w:pos="1680"/>
          <w:tab w:val="left" w:pos="2240"/>
          <w:tab w:val="left" w:pos="2800"/>
          <w:tab w:val="left" w:pos="3360"/>
          <w:tab w:val="left" w:pos="3920"/>
        </w:tabs>
        <w:ind w:left="383" w:hanging="383"/>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nsid w:val="4C645259"/>
    <w:multiLevelType w:val="multilevel"/>
    <w:tmpl w:val="4C645259"/>
    <w:lvl w:ilvl="0" w:tentative="0">
      <w:start w:val="1"/>
      <w:numFmt w:val="bullet"/>
      <w:lvlText w:val="•"/>
      <w:lvlJc w:val="left"/>
      <w:pPr>
        <w:ind w:left="259" w:hanging="259"/>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60">
    <w:nsid w:val="4CC86AC1"/>
    <w:multiLevelType w:val="multilevel"/>
    <w:tmpl w:val="4CC86AC1"/>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61">
    <w:nsid w:val="4D5865E4"/>
    <w:multiLevelType w:val="multilevel"/>
    <w:tmpl w:val="4D5865E4"/>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62">
    <w:nsid w:val="4D951BA3"/>
    <w:multiLevelType w:val="multilevel"/>
    <w:tmpl w:val="4D951BA3"/>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63">
    <w:nsid w:val="507141E1"/>
    <w:multiLevelType w:val="multilevel"/>
    <w:tmpl w:val="507141E1"/>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64">
    <w:nsid w:val="53177126"/>
    <w:multiLevelType w:val="multilevel"/>
    <w:tmpl w:val="53177126"/>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65">
    <w:nsid w:val="551F46BE"/>
    <w:multiLevelType w:val="multilevel"/>
    <w:tmpl w:val="551F46BE"/>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66">
    <w:nsid w:val="56BF2B9F"/>
    <w:multiLevelType w:val="multilevel"/>
    <w:tmpl w:val="56BF2B9F"/>
    <w:lvl w:ilvl="0" w:tentative="0">
      <w:start w:val="1"/>
      <w:numFmt w:val="upperLetter"/>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upperLetter"/>
      <w:lvlText w:val="%3."/>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upp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upperLetter"/>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upperLetter"/>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upperLetter"/>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upperLetter"/>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upperLetter"/>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nsid w:val="58E47CCC"/>
    <w:multiLevelType w:val="multilevel"/>
    <w:tmpl w:val="58E47CCC"/>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68">
    <w:nsid w:val="5B8972C4"/>
    <w:multiLevelType w:val="multilevel"/>
    <w:tmpl w:val="5B8972C4"/>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69">
    <w:nsid w:val="5BE51C34"/>
    <w:multiLevelType w:val="multilevel"/>
    <w:tmpl w:val="5BE51C34"/>
    <w:lvl w:ilvl="0" w:tentative="0">
      <w:start w:val="1"/>
      <w:numFmt w:val="bullet"/>
      <w:lvlText w:val="•"/>
      <w:lvlJc w:val="left"/>
      <w:pPr>
        <w:ind w:left="259" w:hanging="259"/>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70">
    <w:nsid w:val="5D390D96"/>
    <w:multiLevelType w:val="multilevel"/>
    <w:tmpl w:val="5D390D96"/>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71">
    <w:nsid w:val="5D3D3857"/>
    <w:multiLevelType w:val="multilevel"/>
    <w:tmpl w:val="5D3D3857"/>
    <w:lvl w:ilvl="0" w:tentative="0">
      <w:start w:val="1"/>
      <w:numFmt w:val="decimal"/>
      <w:lvlText w:val="%1."/>
      <w:lvlJc w:val="left"/>
      <w:pPr>
        <w:tabs>
          <w:tab w:val="left" w:pos="432"/>
          <w:tab w:val="left" w:pos="1440"/>
          <w:tab w:val="left" w:pos="1680"/>
          <w:tab w:val="left" w:pos="2240"/>
          <w:tab w:val="left" w:pos="2800"/>
          <w:tab w:val="left" w:pos="3360"/>
          <w:tab w:val="left" w:pos="3920"/>
        </w:tabs>
        <w:ind w:left="455" w:hanging="455"/>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decimal"/>
      <w:lvlText w:val="%2."/>
      <w:lvlJc w:val="left"/>
      <w:pPr>
        <w:tabs>
          <w:tab w:val="left" w:pos="360"/>
          <w:tab w:val="left" w:pos="1440"/>
          <w:tab w:val="left" w:pos="1680"/>
          <w:tab w:val="left" w:pos="2240"/>
          <w:tab w:val="left" w:pos="2800"/>
          <w:tab w:val="left" w:pos="3360"/>
          <w:tab w:val="left" w:pos="3920"/>
        </w:tabs>
        <w:ind w:left="383" w:hanging="383"/>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entative="0">
      <w:start w:val="1"/>
      <w:numFmt w:val="decimal"/>
      <w:lvlText w:val="%3."/>
      <w:lvlJc w:val="left"/>
      <w:pPr>
        <w:tabs>
          <w:tab w:val="left" w:pos="360"/>
          <w:tab w:val="left" w:pos="1440"/>
          <w:tab w:val="left" w:pos="1680"/>
          <w:tab w:val="left" w:pos="2240"/>
          <w:tab w:val="left" w:pos="2800"/>
          <w:tab w:val="left" w:pos="3360"/>
          <w:tab w:val="left" w:pos="3920"/>
        </w:tabs>
        <w:ind w:left="383" w:hanging="383"/>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tabs>
          <w:tab w:val="left" w:pos="360"/>
          <w:tab w:val="left" w:pos="1440"/>
          <w:tab w:val="left" w:pos="1680"/>
          <w:tab w:val="left" w:pos="2240"/>
          <w:tab w:val="left" w:pos="2800"/>
          <w:tab w:val="left" w:pos="3360"/>
          <w:tab w:val="left" w:pos="3920"/>
        </w:tabs>
        <w:ind w:left="383" w:hanging="383"/>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entative="0">
      <w:start w:val="1"/>
      <w:numFmt w:val="decimal"/>
      <w:lvlText w:val="%5."/>
      <w:lvlJc w:val="left"/>
      <w:pPr>
        <w:tabs>
          <w:tab w:val="left" w:pos="360"/>
          <w:tab w:val="left" w:pos="1440"/>
          <w:tab w:val="left" w:pos="1680"/>
          <w:tab w:val="left" w:pos="2240"/>
          <w:tab w:val="left" w:pos="2800"/>
          <w:tab w:val="left" w:pos="3360"/>
          <w:tab w:val="left" w:pos="3920"/>
        </w:tabs>
        <w:ind w:left="383" w:hanging="383"/>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entative="0">
      <w:start w:val="1"/>
      <w:numFmt w:val="decimal"/>
      <w:lvlText w:val="%6."/>
      <w:lvlJc w:val="left"/>
      <w:pPr>
        <w:tabs>
          <w:tab w:val="left" w:pos="360"/>
          <w:tab w:val="left" w:pos="1440"/>
          <w:tab w:val="left" w:pos="1680"/>
          <w:tab w:val="left" w:pos="2240"/>
          <w:tab w:val="left" w:pos="2800"/>
          <w:tab w:val="left" w:pos="3360"/>
          <w:tab w:val="left" w:pos="3920"/>
        </w:tabs>
        <w:ind w:left="383" w:hanging="383"/>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tabs>
          <w:tab w:val="left" w:pos="360"/>
          <w:tab w:val="left" w:pos="1440"/>
          <w:tab w:val="left" w:pos="1680"/>
          <w:tab w:val="left" w:pos="2240"/>
          <w:tab w:val="left" w:pos="2800"/>
          <w:tab w:val="left" w:pos="3360"/>
          <w:tab w:val="left" w:pos="3920"/>
        </w:tabs>
        <w:ind w:left="383" w:hanging="383"/>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entative="0">
      <w:start w:val="1"/>
      <w:numFmt w:val="decimal"/>
      <w:lvlText w:val="%8."/>
      <w:lvlJc w:val="left"/>
      <w:pPr>
        <w:tabs>
          <w:tab w:val="left" w:pos="360"/>
          <w:tab w:val="left" w:pos="1440"/>
          <w:tab w:val="left" w:pos="1680"/>
          <w:tab w:val="left" w:pos="2240"/>
          <w:tab w:val="left" w:pos="2800"/>
          <w:tab w:val="left" w:pos="3360"/>
          <w:tab w:val="left" w:pos="3920"/>
        </w:tabs>
        <w:ind w:left="383" w:hanging="383"/>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entative="0">
      <w:start w:val="1"/>
      <w:numFmt w:val="decimal"/>
      <w:lvlText w:val="%9."/>
      <w:lvlJc w:val="left"/>
      <w:pPr>
        <w:tabs>
          <w:tab w:val="left" w:pos="360"/>
          <w:tab w:val="left" w:pos="1440"/>
          <w:tab w:val="left" w:pos="1680"/>
          <w:tab w:val="left" w:pos="2240"/>
          <w:tab w:val="left" w:pos="2800"/>
          <w:tab w:val="left" w:pos="3360"/>
          <w:tab w:val="left" w:pos="3920"/>
        </w:tabs>
        <w:ind w:left="383" w:hanging="383"/>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nsid w:val="5F656906"/>
    <w:multiLevelType w:val="multilevel"/>
    <w:tmpl w:val="5F656906"/>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73">
    <w:nsid w:val="5FB02D1D"/>
    <w:multiLevelType w:val="multilevel"/>
    <w:tmpl w:val="5FB02D1D"/>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48" w:hanging="34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48" w:hanging="34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48" w:hanging="34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48" w:hanging="34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48" w:hanging="34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48" w:hanging="34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48" w:hanging="34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48" w:hanging="34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74">
    <w:nsid w:val="5FF46D66"/>
    <w:multiLevelType w:val="multilevel"/>
    <w:tmpl w:val="5FF46D66"/>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94" w:hanging="394"/>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94" w:hanging="394"/>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94" w:hanging="394"/>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94" w:hanging="394"/>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94" w:hanging="394"/>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94" w:hanging="394"/>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94" w:hanging="394"/>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94" w:hanging="394"/>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75">
    <w:nsid w:val="60247E0E"/>
    <w:multiLevelType w:val="multilevel"/>
    <w:tmpl w:val="60247E0E"/>
    <w:lvl w:ilvl="0" w:tentative="0">
      <w:start w:val="1"/>
      <w:numFmt w:val="bullet"/>
      <w:lvlText w:val="•"/>
      <w:lvlJc w:val="left"/>
      <w:pPr>
        <w:ind w:left="259" w:hanging="259"/>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76">
    <w:nsid w:val="60C83375"/>
    <w:multiLevelType w:val="multilevel"/>
    <w:tmpl w:val="60C83375"/>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77">
    <w:nsid w:val="635050B0"/>
    <w:multiLevelType w:val="multilevel"/>
    <w:tmpl w:val="635050B0"/>
    <w:lvl w:ilvl="0" w:tentative="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decimal"/>
      <w:lvlText w:val="%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decimal"/>
      <w:lvlText w:val="%3."/>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nsid w:val="63A15A68"/>
    <w:multiLevelType w:val="multilevel"/>
    <w:tmpl w:val="63A15A68"/>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79">
    <w:nsid w:val="64710FF4"/>
    <w:multiLevelType w:val="multilevel"/>
    <w:tmpl w:val="64710FF4"/>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80">
    <w:nsid w:val="657343BA"/>
    <w:multiLevelType w:val="multilevel"/>
    <w:tmpl w:val="657343BA"/>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81">
    <w:nsid w:val="65FC4E59"/>
    <w:multiLevelType w:val="multilevel"/>
    <w:tmpl w:val="65FC4E59"/>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82">
    <w:nsid w:val="699D0354"/>
    <w:multiLevelType w:val="multilevel"/>
    <w:tmpl w:val="699D0354"/>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83">
    <w:nsid w:val="6A7611F0"/>
    <w:multiLevelType w:val="multilevel"/>
    <w:tmpl w:val="6A7611F0"/>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84">
    <w:nsid w:val="6BAA2E8F"/>
    <w:multiLevelType w:val="multilevel"/>
    <w:tmpl w:val="6BAA2E8F"/>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58" w:hanging="105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58" w:hanging="105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58" w:hanging="105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58" w:hanging="105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58" w:hanging="105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58" w:hanging="105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58" w:hanging="105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58" w:hanging="1058"/>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85">
    <w:nsid w:val="6C5243FB"/>
    <w:multiLevelType w:val="multilevel"/>
    <w:tmpl w:val="6C5243FB"/>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86">
    <w:nsid w:val="6C6E0CD1"/>
    <w:multiLevelType w:val="multilevel"/>
    <w:tmpl w:val="6C6E0CD1"/>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87">
    <w:nsid w:val="6CDC6FBB"/>
    <w:multiLevelType w:val="multilevel"/>
    <w:tmpl w:val="6CDC6FBB"/>
    <w:lvl w:ilvl="0" w:tentative="0">
      <w:start w:val="1"/>
      <w:numFmt w:val="bullet"/>
      <w:lvlText w:val="•"/>
      <w:lvlJc w:val="left"/>
      <w:pPr>
        <w:ind w:left="259" w:hanging="259"/>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88">
    <w:nsid w:val="6D3F5E25"/>
    <w:multiLevelType w:val="multilevel"/>
    <w:tmpl w:val="6D3F5E25"/>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89">
    <w:nsid w:val="70A00564"/>
    <w:multiLevelType w:val="multilevel"/>
    <w:tmpl w:val="70A00564"/>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90">
    <w:nsid w:val="737102EE"/>
    <w:multiLevelType w:val="multilevel"/>
    <w:tmpl w:val="737102EE"/>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91">
    <w:nsid w:val="7371766F"/>
    <w:multiLevelType w:val="multilevel"/>
    <w:tmpl w:val="7371766F"/>
    <w:lvl w:ilvl="0" w:tentative="0">
      <w:start w:val="1"/>
      <w:numFmt w:val="decimal"/>
      <w:lvlText w:val="%1."/>
      <w:lvlJc w:val="left"/>
      <w:pPr>
        <w:tabs>
          <w:tab w:val="left" w:pos="432"/>
          <w:tab w:val="left" w:pos="1440"/>
          <w:tab w:val="left" w:pos="1680"/>
          <w:tab w:val="left" w:pos="2240"/>
          <w:tab w:val="left" w:pos="2800"/>
          <w:tab w:val="left" w:pos="3360"/>
          <w:tab w:val="left" w:pos="3920"/>
        </w:tabs>
        <w:ind w:left="455" w:hanging="455"/>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decimal"/>
      <w:lvlText w:val="%2."/>
      <w:lvlJc w:val="left"/>
      <w:pPr>
        <w:tabs>
          <w:tab w:val="left" w:pos="792"/>
          <w:tab w:val="left" w:pos="1440"/>
          <w:tab w:val="left" w:pos="1680"/>
          <w:tab w:val="left" w:pos="2240"/>
          <w:tab w:val="left" w:pos="2800"/>
          <w:tab w:val="left" w:pos="3360"/>
          <w:tab w:val="left" w:pos="3920"/>
        </w:tabs>
        <w:ind w:left="815" w:hanging="455"/>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decimal"/>
      <w:lvlText w:val="%3."/>
      <w:lvlJc w:val="left"/>
      <w:pPr>
        <w:tabs>
          <w:tab w:val="left" w:pos="1152"/>
          <w:tab w:val="left" w:pos="1440"/>
          <w:tab w:val="left" w:pos="1680"/>
          <w:tab w:val="left" w:pos="2240"/>
          <w:tab w:val="left" w:pos="2800"/>
          <w:tab w:val="left" w:pos="3360"/>
          <w:tab w:val="left" w:pos="3920"/>
        </w:tabs>
        <w:ind w:left="1175" w:hanging="455"/>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tabs>
          <w:tab w:val="left" w:pos="1512"/>
          <w:tab w:val="left" w:pos="1680"/>
          <w:tab w:val="left" w:pos="2240"/>
          <w:tab w:val="left" w:pos="2800"/>
          <w:tab w:val="left" w:pos="3360"/>
          <w:tab w:val="left" w:pos="3920"/>
        </w:tabs>
        <w:ind w:left="1535" w:hanging="455"/>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decimal"/>
      <w:lvlText w:val="%5."/>
      <w:lvlJc w:val="left"/>
      <w:pPr>
        <w:tabs>
          <w:tab w:val="left" w:pos="1440"/>
          <w:tab w:val="left" w:pos="1872"/>
          <w:tab w:val="left" w:pos="2240"/>
          <w:tab w:val="left" w:pos="2800"/>
          <w:tab w:val="left" w:pos="3360"/>
          <w:tab w:val="left" w:pos="3920"/>
        </w:tabs>
        <w:ind w:left="1895" w:hanging="455"/>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decimal"/>
      <w:lvlText w:val="%6."/>
      <w:lvlJc w:val="left"/>
      <w:pPr>
        <w:tabs>
          <w:tab w:val="left" w:pos="1440"/>
          <w:tab w:val="left" w:pos="1680"/>
          <w:tab w:val="left" w:pos="2232"/>
          <w:tab w:val="left" w:pos="2240"/>
          <w:tab w:val="left" w:pos="2800"/>
          <w:tab w:val="left" w:pos="3360"/>
          <w:tab w:val="left" w:pos="3920"/>
        </w:tabs>
        <w:ind w:left="2255" w:hanging="455"/>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tabs>
          <w:tab w:val="left" w:pos="1440"/>
          <w:tab w:val="left" w:pos="1680"/>
          <w:tab w:val="left" w:pos="2240"/>
          <w:tab w:val="left" w:pos="2592"/>
          <w:tab w:val="left" w:pos="2800"/>
          <w:tab w:val="left" w:pos="3360"/>
          <w:tab w:val="left" w:pos="3920"/>
        </w:tabs>
        <w:ind w:left="2615" w:hanging="455"/>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decimal"/>
      <w:lvlText w:val="%8."/>
      <w:lvlJc w:val="left"/>
      <w:pPr>
        <w:tabs>
          <w:tab w:val="left" w:pos="1440"/>
          <w:tab w:val="left" w:pos="1680"/>
          <w:tab w:val="left" w:pos="2240"/>
          <w:tab w:val="left" w:pos="2952"/>
          <w:tab w:val="left" w:pos="3360"/>
          <w:tab w:val="left" w:pos="3920"/>
        </w:tabs>
        <w:ind w:left="2975" w:hanging="455"/>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decimal"/>
      <w:lvlText w:val="%9."/>
      <w:lvlJc w:val="left"/>
      <w:pPr>
        <w:tabs>
          <w:tab w:val="left" w:pos="1440"/>
          <w:tab w:val="left" w:pos="1680"/>
          <w:tab w:val="left" w:pos="2240"/>
          <w:tab w:val="left" w:pos="2800"/>
          <w:tab w:val="left" w:pos="3312"/>
          <w:tab w:val="left" w:pos="3360"/>
          <w:tab w:val="left" w:pos="3920"/>
        </w:tabs>
        <w:ind w:left="3335" w:hanging="4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nsid w:val="75050803"/>
    <w:multiLevelType w:val="multilevel"/>
    <w:tmpl w:val="75050803"/>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93">
    <w:nsid w:val="774858AD"/>
    <w:multiLevelType w:val="multilevel"/>
    <w:tmpl w:val="774858AD"/>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suff w:val="nothing"/>
      <w:lvlText w:val="o"/>
      <w:lvlJc w:val="left"/>
      <w:pPr>
        <w:ind w:left="0" w:firstLine="0"/>
      </w:pPr>
      <w:rPr>
        <w:rFonts w:ascii="Courier New" w:hAnsi="Courier New" w:eastAsia="Courier New" w:cs="Courier New"/>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94">
    <w:nsid w:val="7831518B"/>
    <w:multiLevelType w:val="multilevel"/>
    <w:tmpl w:val="7831518B"/>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95">
    <w:nsid w:val="7A7B0449"/>
    <w:multiLevelType w:val="multilevel"/>
    <w:tmpl w:val="7A7B0449"/>
    <w:lvl w:ilvl="0" w:tentative="0">
      <w:start w:val="1"/>
      <w:numFmt w:val="bullet"/>
      <w:lvlText w:val="•"/>
      <w:lvlJc w:val="left"/>
      <w:pPr>
        <w:ind w:left="259" w:hanging="259"/>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96">
    <w:nsid w:val="7AA72481"/>
    <w:multiLevelType w:val="multilevel"/>
    <w:tmpl w:val="7AA72481"/>
    <w:lvl w:ilvl="0" w:tentative="0">
      <w:start w:val="1"/>
      <w:numFmt w:val="bullet"/>
      <w:lvlText w:val="•"/>
      <w:lvlJc w:val="left"/>
      <w:pPr>
        <w:ind w:left="259" w:hanging="259"/>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60" w:hanging="36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97">
    <w:nsid w:val="7B8622A6"/>
    <w:multiLevelType w:val="multilevel"/>
    <w:tmpl w:val="7B8622A6"/>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011" w:hanging="1011"/>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98">
    <w:nsid w:val="7D4355AB"/>
    <w:multiLevelType w:val="multilevel"/>
    <w:tmpl w:val="7D4355AB"/>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300" w:hanging="3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99">
    <w:nsid w:val="7E6F4487"/>
    <w:multiLevelType w:val="multilevel"/>
    <w:tmpl w:val="7E6F4487"/>
    <w:lvl w:ilvl="0" w:tentative="0">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entative="0">
      <w:start w:val="1"/>
      <w:numFmt w:val="bullet"/>
      <w:lvlText w:val="•"/>
      <w:lvlJc w:val="left"/>
      <w:pPr>
        <w:ind w:left="1200" w:hanging="12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2" w:tentative="0">
      <w:start w:val="1"/>
      <w:numFmt w:val="bullet"/>
      <w:lvlText w:val="•"/>
      <w:lvlJc w:val="left"/>
      <w:pPr>
        <w:ind w:left="1200" w:hanging="12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3" w:tentative="0">
      <w:start w:val="1"/>
      <w:numFmt w:val="bullet"/>
      <w:lvlText w:val="•"/>
      <w:lvlJc w:val="left"/>
      <w:pPr>
        <w:ind w:left="1200" w:hanging="12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4" w:tentative="0">
      <w:start w:val="1"/>
      <w:numFmt w:val="bullet"/>
      <w:lvlText w:val="•"/>
      <w:lvlJc w:val="left"/>
      <w:pPr>
        <w:ind w:left="1200" w:hanging="12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5" w:tentative="0">
      <w:start w:val="1"/>
      <w:numFmt w:val="bullet"/>
      <w:lvlText w:val="•"/>
      <w:lvlJc w:val="left"/>
      <w:pPr>
        <w:ind w:left="1200" w:hanging="12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6" w:tentative="0">
      <w:start w:val="1"/>
      <w:numFmt w:val="bullet"/>
      <w:lvlText w:val="•"/>
      <w:lvlJc w:val="left"/>
      <w:pPr>
        <w:ind w:left="1200" w:hanging="12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7" w:tentative="0">
      <w:start w:val="1"/>
      <w:numFmt w:val="bullet"/>
      <w:lvlText w:val="•"/>
      <w:lvlJc w:val="left"/>
      <w:pPr>
        <w:ind w:left="1200" w:hanging="12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lvl w:ilvl="8" w:tentative="0">
      <w:start w:val="1"/>
      <w:numFmt w:val="bullet"/>
      <w:lvlText w:val="•"/>
      <w:lvlJc w:val="left"/>
      <w:pPr>
        <w:ind w:left="1200" w:hanging="1200"/>
      </w:pPr>
      <w:rPr>
        <w:rFonts w:ascii="Arial" w:hAnsi="Arial" w:eastAsia="Arial" w:cs="Arial"/>
        <w:b w:val="0"/>
        <w:bCs w:val="0"/>
        <w:i w:val="0"/>
        <w:iCs w:val="0"/>
        <w:caps w:val="0"/>
        <w:smallCaps w:val="0"/>
        <w:strike w:val="0"/>
        <w:dstrike w:val="0"/>
        <w:outline w:val="0"/>
        <w:emboss w:val="0"/>
        <w:imprint w:val="0"/>
        <w:color w:val="7F8685"/>
        <w:spacing w:val="0"/>
        <w:w w:val="100"/>
        <w:kern w:val="0"/>
        <w:position w:val="0"/>
        <w:highlight w:val="none"/>
        <w:vertAlign w:val="baseline"/>
      </w:rPr>
    </w:lvl>
  </w:abstractNum>
  <w:abstractNum w:abstractNumId="100">
    <w:nsid w:val="7F424DDC"/>
    <w:multiLevelType w:val="multilevel"/>
    <w:tmpl w:val="7F424DDC"/>
    <w:lvl w:ilvl="0" w:tentative="0">
      <w:start w:val="1"/>
      <w:numFmt w:val="decimal"/>
      <w:lvlText w:val="%1."/>
      <w:lvlJc w:val="left"/>
      <w:pPr>
        <w:tabs>
          <w:tab w:val="left" w:pos="1440"/>
          <w:tab w:val="left" w:pos="1680"/>
          <w:tab w:val="left" w:pos="2240"/>
          <w:tab w:val="left" w:pos="2800"/>
          <w:tab w:val="left" w:pos="3360"/>
          <w:tab w:val="left" w:pos="3920"/>
        </w:tabs>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decimal"/>
      <w:lvlText w:val="%2."/>
      <w:lvlJc w:val="left"/>
      <w:pPr>
        <w:tabs>
          <w:tab w:val="left" w:pos="1440"/>
          <w:tab w:val="left" w:pos="1680"/>
          <w:tab w:val="left" w:pos="2240"/>
          <w:tab w:val="left" w:pos="2800"/>
          <w:tab w:val="left" w:pos="3360"/>
          <w:tab w:val="left" w:pos="3920"/>
        </w:tabs>
        <w:ind w:left="360" w:hanging="36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entative="0">
      <w:start w:val="1"/>
      <w:numFmt w:val="decimal"/>
      <w:lvlText w:val="%3."/>
      <w:lvlJc w:val="left"/>
      <w:pPr>
        <w:tabs>
          <w:tab w:val="left" w:pos="1440"/>
          <w:tab w:val="left" w:pos="1680"/>
          <w:tab w:val="left" w:pos="2240"/>
          <w:tab w:val="left" w:pos="2800"/>
          <w:tab w:val="left" w:pos="3360"/>
          <w:tab w:val="left" w:pos="3920"/>
        </w:tabs>
        <w:ind w:left="360" w:hanging="36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tabs>
          <w:tab w:val="left" w:pos="1440"/>
          <w:tab w:val="left" w:pos="1680"/>
          <w:tab w:val="left" w:pos="2240"/>
          <w:tab w:val="left" w:pos="2800"/>
          <w:tab w:val="left" w:pos="3360"/>
          <w:tab w:val="left" w:pos="3920"/>
        </w:tabs>
        <w:ind w:left="360" w:hanging="36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entative="0">
      <w:start w:val="1"/>
      <w:numFmt w:val="decimal"/>
      <w:lvlText w:val="%5."/>
      <w:lvlJc w:val="left"/>
      <w:pPr>
        <w:tabs>
          <w:tab w:val="left" w:pos="1440"/>
          <w:tab w:val="left" w:pos="1680"/>
          <w:tab w:val="left" w:pos="2240"/>
          <w:tab w:val="left" w:pos="2800"/>
          <w:tab w:val="left" w:pos="3360"/>
          <w:tab w:val="left" w:pos="3920"/>
        </w:tabs>
        <w:ind w:left="360" w:hanging="36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entative="0">
      <w:start w:val="1"/>
      <w:numFmt w:val="decimal"/>
      <w:lvlText w:val="%6."/>
      <w:lvlJc w:val="left"/>
      <w:pPr>
        <w:tabs>
          <w:tab w:val="left" w:pos="1440"/>
          <w:tab w:val="left" w:pos="1680"/>
          <w:tab w:val="left" w:pos="2240"/>
          <w:tab w:val="left" w:pos="2800"/>
          <w:tab w:val="left" w:pos="3360"/>
          <w:tab w:val="left" w:pos="3920"/>
        </w:tabs>
        <w:ind w:left="360" w:hanging="36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tabs>
          <w:tab w:val="left" w:pos="1440"/>
          <w:tab w:val="left" w:pos="1680"/>
          <w:tab w:val="left" w:pos="2240"/>
          <w:tab w:val="left" w:pos="2800"/>
          <w:tab w:val="left" w:pos="3360"/>
          <w:tab w:val="left" w:pos="3920"/>
        </w:tabs>
        <w:ind w:left="360" w:hanging="36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entative="0">
      <w:start w:val="1"/>
      <w:numFmt w:val="decimal"/>
      <w:lvlText w:val="%8."/>
      <w:lvlJc w:val="left"/>
      <w:pPr>
        <w:tabs>
          <w:tab w:val="left" w:pos="1440"/>
          <w:tab w:val="left" w:pos="1680"/>
          <w:tab w:val="left" w:pos="2240"/>
          <w:tab w:val="left" w:pos="2800"/>
          <w:tab w:val="left" w:pos="3360"/>
          <w:tab w:val="left" w:pos="3920"/>
        </w:tabs>
        <w:ind w:left="360" w:hanging="36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entative="0">
      <w:start w:val="1"/>
      <w:numFmt w:val="decimal"/>
      <w:lvlText w:val="%9."/>
      <w:lvlJc w:val="left"/>
      <w:pPr>
        <w:tabs>
          <w:tab w:val="left" w:pos="1440"/>
          <w:tab w:val="left" w:pos="1680"/>
          <w:tab w:val="left" w:pos="2240"/>
          <w:tab w:val="left" w:pos="2800"/>
          <w:tab w:val="left" w:pos="3360"/>
          <w:tab w:val="left" w:pos="3920"/>
        </w:tabs>
        <w:ind w:left="360" w:hanging="36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8"/>
    <w:lvlOverride w:ilvl="2">
      <w:startOverride w:val="5"/>
    </w:lvlOverride>
  </w:num>
  <w:num w:numId="2">
    <w:abstractNumId w:val="18"/>
    <w:lvlOverride w:ilvl="2">
      <w:startOverride w:val="6"/>
    </w:lvlOverride>
  </w:num>
  <w:num w:numId="3">
    <w:abstractNumId w:val="18"/>
    <w:lvlOverride w:ilvl="2">
      <w:startOverride w:val="7"/>
    </w:lvlOverride>
  </w:num>
  <w:num w:numId="4">
    <w:abstractNumId w:val="18"/>
    <w:lvlOverride w:ilvl="2">
      <w:startOverride w:val="8"/>
    </w:lvlOverride>
  </w:num>
  <w:num w:numId="5">
    <w:abstractNumId w:val="18"/>
    <w:lvlOverride w:ilvl="2">
      <w:startOverride w:val="9"/>
    </w:lvlOverride>
  </w:num>
  <w:num w:numId="6">
    <w:abstractNumId w:val="18"/>
    <w:lvlOverride w:ilvl="2">
      <w:startOverride w:val="10"/>
    </w:lvlOverride>
  </w:num>
  <w:num w:numId="7">
    <w:abstractNumId w:val="35"/>
    <w:lvlOverride w:ilvl="1">
      <w:startOverride w:val="1"/>
    </w:lvlOverride>
  </w:num>
  <w:num w:numId="8">
    <w:abstractNumId w:val="35"/>
  </w:num>
  <w:num w:numId="9">
    <w:abstractNumId w:val="40"/>
  </w:num>
  <w:num w:numId="10">
    <w:abstractNumId w:val="35"/>
    <w:lvlOverride w:ilvl="1">
      <w:startOverride w:val="1"/>
    </w:lvlOverride>
  </w:num>
  <w:num w:numId="11">
    <w:abstractNumId w:val="35"/>
    <w:lvlOverride w:ilvl="0">
      <w:startOverride w:val="1"/>
      <w:lvl w:ilvl="0" w:tentative="1">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decimal"/>
        <w:lvlText w:val="%3."/>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53"/>
  </w:num>
  <w:num w:numId="13">
    <w:abstractNumId w:val="66"/>
  </w:num>
  <w:num w:numId="14">
    <w:abstractNumId w:val="35"/>
    <w:lvlOverride w:ilvl="1">
      <w:startOverride w:val="1"/>
    </w:lvlOverride>
  </w:num>
  <w:num w:numId="15">
    <w:abstractNumId w:val="35"/>
    <w:lvlOverride w:ilvl="1">
      <w:startOverride w:val="1"/>
    </w:lvlOverride>
  </w:num>
  <w:num w:numId="16">
    <w:abstractNumId w:val="77"/>
  </w:num>
  <w:num w:numId="17">
    <w:abstractNumId w:val="77"/>
    <w:lvlOverride w:ilvl="0">
      <w:lvl w:ilvl="0" w:tentative="1">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43"/>
  </w:num>
  <w:num w:numId="19">
    <w:abstractNumId w:val="43"/>
    <w:lvlOverride w:ilvl="0">
      <w:lvl w:ilvl="0" w:tentative="1">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lvlOverride w:ilvl="1">
      <w:lvl w:ilvl="1" w:tentative="1">
        <w:start w:val="1"/>
        <w:numFmt w:val="bullet"/>
        <w:lvlText w:val="•"/>
        <w:lvlJc w:val="left"/>
        <w:pPr>
          <w:ind w:left="48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lvlOverride w:ilvl="2">
      <w:lvl w:ilvl="2" w:tentative="1">
        <w:start w:val="1"/>
        <w:numFmt w:val="bullet"/>
        <w:lvlText w:val="•"/>
        <w:lvlJc w:val="left"/>
        <w:pPr>
          <w:ind w:left="70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lvlOverride w:ilvl="3">
      <w:lvl w:ilvl="3" w:tentative="1">
        <w:start w:val="1"/>
        <w:numFmt w:val="bullet"/>
        <w:lvlText w:val="•"/>
        <w:lvlJc w:val="left"/>
        <w:pPr>
          <w:ind w:left="92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lvlOverride w:ilvl="4">
      <w:lvl w:ilvl="4" w:tentative="1">
        <w:start w:val="1"/>
        <w:numFmt w:val="bullet"/>
        <w:lvlText w:val="•"/>
        <w:lvlJc w:val="left"/>
        <w:pPr>
          <w:ind w:left="114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lvlOverride w:ilvl="5">
      <w:lvl w:ilvl="5" w:tentative="1">
        <w:start w:val="1"/>
        <w:numFmt w:val="bullet"/>
        <w:lvlText w:val="•"/>
        <w:lvlJc w:val="left"/>
        <w:pPr>
          <w:ind w:left="136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lvlOverride w:ilvl="6">
      <w:lvl w:ilvl="6" w:tentative="1">
        <w:start w:val="1"/>
        <w:numFmt w:val="bullet"/>
        <w:lvlText w:val="•"/>
        <w:lvlJc w:val="left"/>
        <w:pPr>
          <w:ind w:left="158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lvlOverride w:ilvl="7">
      <w:lvl w:ilvl="7" w:tentative="1">
        <w:start w:val="1"/>
        <w:numFmt w:val="bullet"/>
        <w:lvlText w:val="•"/>
        <w:lvlJc w:val="left"/>
        <w:pPr>
          <w:ind w:left="180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lvlOverride w:ilvl="8">
      <w:lvl w:ilvl="8" w:tentative="1">
        <w:start w:val="1"/>
        <w:numFmt w:val="bullet"/>
        <w:lvlText w:val="•"/>
        <w:lvlJc w:val="left"/>
        <w:pPr>
          <w:ind w:left="202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num>
  <w:num w:numId="20">
    <w:abstractNumId w:val="100"/>
  </w:num>
  <w:num w:numId="21">
    <w:abstractNumId w:val="91"/>
  </w:num>
  <w:num w:numId="22">
    <w:abstractNumId w:val="7"/>
  </w:num>
  <w:num w:numId="23">
    <w:abstractNumId w:val="71"/>
  </w:num>
  <w:num w:numId="24">
    <w:abstractNumId w:val="58"/>
  </w:num>
  <w:num w:numId="25">
    <w:abstractNumId w:val="35"/>
    <w:lvlOverride w:ilvl="3">
      <w:startOverride w:val="1"/>
    </w:lvlOverride>
  </w:num>
  <w:num w:numId="26">
    <w:abstractNumId w:val="77"/>
    <w:lvlOverride w:ilvl="0">
      <w:startOverride w:val="1"/>
      <w:lvl w:ilvl="0" w:tentative="1">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abstractNumId w:val="77"/>
    <w:lvlOverride w:ilvl="0">
      <w:startOverride w:val="1"/>
      <w:lvl w:ilvl="0" w:tentative="1">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abstractNumId w:val="77"/>
    <w:lvlOverride w:ilvl="0">
      <w:startOverride w:val="1"/>
      <w:lvl w:ilvl="0" w:tentative="1">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abstractNumId w:val="77"/>
    <w:lvlOverride w:ilvl="0">
      <w:startOverride w:val="1"/>
      <w:lvl w:ilvl="0" w:tentative="1">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
    <w:abstractNumId w:val="77"/>
    <w:lvlOverride w:ilvl="0">
      <w:startOverride w:val="1"/>
      <w:lvl w:ilvl="0" w:tentative="1">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35"/>
    <w:lvlOverride w:ilvl="0">
      <w:startOverride w:val="1"/>
      <w:lvl w:ilvl="0" w:tentative="1">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
    <w:abstractNumId w:val="77"/>
    <w:lvlOverride w:ilvl="0">
      <w:startOverride w:val="1"/>
      <w:lvl w:ilvl="0" w:tentative="1">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abstractNumId w:val="77"/>
    <w:lvlOverride w:ilvl="0">
      <w:startOverride w:val="1"/>
      <w:lvl w:ilvl="0" w:tentative="1">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77"/>
    <w:lvlOverride w:ilvl="0">
      <w:startOverride w:val="1"/>
      <w:lvl w:ilvl="0" w:tentative="1">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decimal"/>
        <w:lvlText w:val="%3."/>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77"/>
    <w:lvlOverride w:ilvl="0">
      <w:startOverride w:val="1"/>
      <w:lvl w:ilvl="0" w:tentative="1">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decimal"/>
        <w:lvlText w:val="%3."/>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77"/>
    <w:lvlOverride w:ilvl="0">
      <w:startOverride w:val="1"/>
      <w:lvl w:ilvl="0" w:tentative="1">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ind w:left="690" w:hanging="330"/>
        </w:pPr>
        <w:rPr>
          <w:rFonts w:hint="default" w:hAnsi="Arial Unicode MS"/>
          <w:caps w:val="0"/>
          <w:smallCaps w:val="0"/>
          <w:strike w:val="0"/>
          <w:dstrike w:val="0"/>
          <w:outline w:val="0"/>
          <w:emboss w:val="0"/>
          <w:imprint w:val="0"/>
          <w:color w:val="auto"/>
          <w:spacing w:val="0"/>
          <w:w w:val="100"/>
          <w:kern w:val="0"/>
          <w:position w:val="0"/>
          <w:highlight w:val="none"/>
          <w:vertAlign w:val="baseline"/>
        </w:rPr>
      </w:lvl>
    </w:lvlOverride>
    <w:lvlOverride w:ilvl="2">
      <w:startOverride w:val="1"/>
      <w:lvl w:ilvl="2" w:tentative="1">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7">
    <w:abstractNumId w:val="77"/>
    <w:lvlOverride w:ilvl="0">
      <w:startOverride w:val="1"/>
      <w:lvl w:ilvl="0" w:tentative="1">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
    <w:abstractNumId w:val="77"/>
    <w:lvlOverride w:ilvl="0">
      <w:startOverride w:val="1"/>
      <w:lvl w:ilvl="0" w:tentative="1">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9">
    <w:abstractNumId w:val="77"/>
    <w:lvlOverride w:ilvl="0">
      <w:startOverride w:val="1"/>
      <w:lvl w:ilvl="0" w:tentative="1">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tabs>
            <w:tab w:val="left" w:pos="560"/>
            <w:tab w:val="left" w:pos="1152"/>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decimal"/>
        <w:lvlText w:val="%3."/>
        <w:lvlJc w:val="left"/>
        <w:pPr>
          <w:tabs>
            <w:tab w:val="left" w:pos="560"/>
            <w:tab w:val="left" w:pos="1120"/>
            <w:tab w:val="left" w:pos="1512"/>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87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tabs>
            <w:tab w:val="left" w:pos="560"/>
            <w:tab w:val="left" w:pos="1120"/>
            <w:tab w:val="left" w:pos="1872"/>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tabs>
            <w:tab w:val="left" w:pos="560"/>
            <w:tab w:val="left" w:pos="1120"/>
            <w:tab w:val="left" w:pos="1680"/>
            <w:tab w:val="left" w:pos="2232"/>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259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tabs>
            <w:tab w:val="left" w:pos="560"/>
            <w:tab w:val="left" w:pos="1120"/>
            <w:tab w:val="left" w:pos="1680"/>
            <w:tab w:val="left" w:pos="2240"/>
            <w:tab w:val="left" w:pos="2592"/>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tabs>
            <w:tab w:val="left" w:pos="560"/>
            <w:tab w:val="left" w:pos="1120"/>
            <w:tab w:val="left" w:pos="1680"/>
            <w:tab w:val="left" w:pos="2240"/>
            <w:tab w:val="left" w:pos="2952"/>
            <w:tab w:val="left" w:pos="3360"/>
            <w:tab w:val="left" w:pos="3920"/>
            <w:tab w:val="left" w:pos="4480"/>
            <w:tab w:val="left" w:pos="5040"/>
            <w:tab w:val="left" w:pos="5600"/>
            <w:tab w:val="left" w:pos="6160"/>
            <w:tab w:val="left" w:pos="6720"/>
            <w:tab w:val="left" w:pos="7280"/>
            <w:tab w:val="left" w:pos="7840"/>
            <w:tab w:val="left" w:pos="8400"/>
            <w:tab w:val="left" w:pos="8960"/>
          </w:tabs>
          <w:ind w:left="331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tabs>
            <w:tab w:val="left" w:pos="560"/>
            <w:tab w:val="left" w:pos="1120"/>
            <w:tab w:val="left" w:pos="1680"/>
            <w:tab w:val="left" w:pos="2240"/>
            <w:tab w:val="left" w:pos="2800"/>
            <w:tab w:val="left" w:pos="3312"/>
            <w:tab w:val="left" w:pos="3360"/>
            <w:tab w:val="left" w:pos="3920"/>
            <w:tab w:val="left" w:pos="4480"/>
            <w:tab w:val="left" w:pos="5040"/>
            <w:tab w:val="left" w:pos="5600"/>
            <w:tab w:val="left" w:pos="6160"/>
            <w:tab w:val="left" w:pos="6720"/>
            <w:tab w:val="left" w:pos="7280"/>
            <w:tab w:val="left" w:pos="7840"/>
            <w:tab w:val="left" w:pos="8400"/>
            <w:tab w:val="left" w:pos="8960"/>
          </w:tabs>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tabs>
            <w:tab w:val="left" w:pos="560"/>
            <w:tab w:val="left" w:pos="1120"/>
            <w:tab w:val="left" w:pos="1680"/>
            <w:tab w:val="left" w:pos="2240"/>
            <w:tab w:val="left" w:pos="2800"/>
            <w:tab w:val="left" w:pos="3360"/>
            <w:tab w:val="left" w:pos="3672"/>
            <w:tab w:val="left" w:pos="3920"/>
            <w:tab w:val="left" w:pos="4480"/>
            <w:tab w:val="left" w:pos="5040"/>
            <w:tab w:val="left" w:pos="5600"/>
            <w:tab w:val="left" w:pos="6160"/>
            <w:tab w:val="left" w:pos="6720"/>
            <w:tab w:val="left" w:pos="7280"/>
            <w:tab w:val="left" w:pos="7840"/>
            <w:tab w:val="left" w:pos="8400"/>
            <w:tab w:val="left" w:pos="8960"/>
          </w:tabs>
          <w:ind w:left="4032" w:hanging="79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
    <w:abstractNumId w:val="35"/>
    <w:lvlOverride w:ilvl="0">
      <w:startOverride w:val="1"/>
      <w:lvl w:ilvl="0" w:tentative="1">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decimal"/>
        <w:lvlText w:val="%3."/>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1">
    <w:abstractNumId w:val="77"/>
    <w:lvlOverride w:ilvl="0">
      <w:startOverride w:val="1"/>
      <w:lvl w:ilvl="0" w:tentative="1">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decimal"/>
        <w:lvlText w:val="%3."/>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
    <w:abstractNumId w:val="77"/>
    <w:lvlOverride w:ilvl="0">
      <w:lvl w:ilvl="0" w:tentative="1">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decimal"/>
        <w:lvlText w:val="%2."/>
        <w:lvlJc w:val="left"/>
        <w:pPr>
          <w:ind w:left="6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decimal"/>
        <w:lvlText w:val="%3."/>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3">
    <w:abstractNumId w:val="66"/>
    <w:lvlOverride w:ilvl="0">
      <w:startOverride w:val="1"/>
      <w:lvl w:ilvl="0" w:tentative="1">
        <w:start w:val="1"/>
        <w:numFmt w:val="upperLetter"/>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upperLetter"/>
        <w:lvlText w:val="%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upperLetter"/>
        <w:lvlText w:val="%3."/>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upperLetter"/>
        <w:lvlText w:val="%4."/>
        <w:lvlJc w:val="left"/>
        <w:pPr>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upperLetter"/>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upperLetter"/>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upperLetter"/>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upperLetter"/>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upperLetter"/>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4">
    <w:abstractNumId w:val="77"/>
    <w:lvlOverride w:ilvl="0">
      <w:startOverride w:val="1"/>
      <w:lvl w:ilvl="0" w:tentative="1">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decimal"/>
        <w:lvlText w:val="%3."/>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
    <w:abstractNumId w:val="35"/>
    <w:lvlOverride w:ilvl="0">
      <w:lvl w:ilvl="0" w:tentative="1">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decimal"/>
        <w:lvlText w:val="%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decimal"/>
        <w:lvlText w:val="%3."/>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
    <w:abstractNumId w:val="54"/>
  </w:num>
  <w:num w:numId="47">
    <w:abstractNumId w:val="44"/>
  </w:num>
  <w:num w:numId="48">
    <w:abstractNumId w:val="23"/>
  </w:num>
  <w:num w:numId="49">
    <w:abstractNumId w:val="10"/>
  </w:num>
  <w:num w:numId="50">
    <w:abstractNumId w:val="69"/>
  </w:num>
  <w:num w:numId="51">
    <w:abstractNumId w:val="52"/>
  </w:num>
  <w:num w:numId="52">
    <w:abstractNumId w:val="24"/>
  </w:num>
  <w:num w:numId="53">
    <w:abstractNumId w:val="42"/>
  </w:num>
  <w:num w:numId="54">
    <w:abstractNumId w:val="66"/>
    <w:lvlOverride w:ilvl="0">
      <w:lvl w:ilvl="0" w:tentative="1">
        <w:start w:val="1"/>
        <w:numFmt w:val="upperLetter"/>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upperLetter"/>
        <w:lvlText w:val="%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upperLetter"/>
        <w:lvlText w:val="%3."/>
        <w:lvlJc w:val="left"/>
        <w:pPr>
          <w:ind w:left="11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upperLetter"/>
        <w:lvlText w:val="%4."/>
        <w:lvlJc w:val="left"/>
        <w:pPr>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upperLetter"/>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upperLetter"/>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upperLetter"/>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upperLetter"/>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upperLetter"/>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5">
    <w:abstractNumId w:val="2"/>
  </w:num>
  <w:num w:numId="56">
    <w:abstractNumId w:val="77"/>
    <w:lvlOverride w:ilvl="0">
      <w:startOverride w:val="1"/>
      <w:lvl w:ilvl="0" w:tentative="1">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decimal"/>
        <w:lvlText w:val="%3."/>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7">
    <w:abstractNumId w:val="77"/>
    <w:lvlOverride w:ilvl="0">
      <w:lvl w:ilvl="0" w:tentative="1">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decimal"/>
        <w:lvlText w:val="%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decimal"/>
        <w:lvlText w:val="%3."/>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8">
    <w:abstractNumId w:val="77"/>
    <w:lvlOverride w:ilvl="0">
      <w:startOverride w:val="1"/>
      <w:lvl w:ilvl="0" w:tentative="1">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decimal"/>
        <w:lvlText w:val="%3."/>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9">
    <w:abstractNumId w:val="49"/>
  </w:num>
  <w:num w:numId="60">
    <w:abstractNumId w:val="87"/>
  </w:num>
  <w:num w:numId="61">
    <w:abstractNumId w:val="96"/>
  </w:num>
  <w:num w:numId="62">
    <w:abstractNumId w:val="59"/>
  </w:num>
  <w:num w:numId="63">
    <w:abstractNumId w:val="29"/>
  </w:num>
  <w:num w:numId="64">
    <w:abstractNumId w:val="75"/>
  </w:num>
  <w:num w:numId="65">
    <w:abstractNumId w:val="95"/>
  </w:num>
  <w:num w:numId="66">
    <w:abstractNumId w:val="11"/>
  </w:num>
  <w:num w:numId="67">
    <w:abstractNumId w:val="77"/>
    <w:lvlOverride w:ilvl="0">
      <w:startOverride w:val="1"/>
      <w:lvl w:ilvl="0" w:tentative="1">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decimal"/>
        <w:lvlText w:val="%3."/>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8">
    <w:abstractNumId w:val="77"/>
    <w:lvlOverride w:ilvl="0">
      <w:startOverride w:val="1"/>
      <w:lvl w:ilvl="0" w:tentative="1">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decimal"/>
        <w:lvlText w:val="%3."/>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9">
    <w:abstractNumId w:val="66"/>
    <w:lvlOverride w:ilvl="0">
      <w:startOverride w:val="1"/>
      <w:lvl w:ilvl="0" w:tentative="1">
        <w:start w:val="1"/>
        <w:numFmt w:val="upperLetter"/>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upperLetter"/>
        <w:lvlText w:val="%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upperLetter"/>
        <w:lvlText w:val="%3."/>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upperLetter"/>
        <w:lvlText w:val="%4."/>
        <w:lvlJc w:val="left"/>
        <w:pPr>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upperLetter"/>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upperLetter"/>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upperLetter"/>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upperLetter"/>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upperLetter"/>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0">
    <w:abstractNumId w:val="77"/>
    <w:lvlOverride w:ilvl="0">
      <w:startOverride w:val="1"/>
      <w:lvl w:ilvl="0" w:tentative="1">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decimal"/>
        <w:lvlText w:val="%3."/>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1">
    <w:abstractNumId w:val="66"/>
    <w:lvlOverride w:ilvl="0">
      <w:startOverride w:val="1"/>
      <w:lvl w:ilvl="0" w:tentative="1">
        <w:start w:val="1"/>
        <w:numFmt w:val="upperLetter"/>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upperLetter"/>
        <w:lvlText w:val="%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upperLetter"/>
        <w:lvlText w:val="%3."/>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upperLetter"/>
        <w:lvlText w:val="%4."/>
        <w:lvlJc w:val="left"/>
        <w:pPr>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upperLetter"/>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upperLetter"/>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upperLetter"/>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upperLetter"/>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upperLetter"/>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2">
    <w:abstractNumId w:val="77"/>
    <w:lvlOverride w:ilvl="0">
      <w:startOverride w:val="1"/>
      <w:lvl w:ilvl="0" w:tentative="1">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decimal"/>
        <w:lvlText w:val="%3."/>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3">
    <w:abstractNumId w:val="33"/>
  </w:num>
  <w:num w:numId="74">
    <w:abstractNumId w:val="0"/>
  </w:num>
  <w:num w:numId="75">
    <w:abstractNumId w:val="31"/>
  </w:num>
  <w:num w:numId="76">
    <w:abstractNumId w:val="35"/>
    <w:lvlOverride w:ilvl="0">
      <w:startOverride w:val="1"/>
      <w:lvl w:ilvl="0" w:tentative="1">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decimal"/>
        <w:lvlText w:val="%3."/>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7">
    <w:abstractNumId w:val="31"/>
    <w:lvlOverride w:ilvl="0">
      <w:lvl w:ilvl="0" w:tentative="1">
        <w:start w:val="1"/>
        <w:numFmt w:val="bullet"/>
        <w:lvlText w:val="•"/>
        <w:lvlJc w:val="left"/>
        <w:pPr>
          <w:ind w:left="259" w:hanging="259"/>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lvlOverride w:ilvl="1">
      <w:lvl w:ilvl="1" w:tentative="1">
        <w:start w:val="1"/>
        <w:numFmt w:val="bullet"/>
        <w:lvlText w:val="•"/>
        <w:lvlJc w:val="left"/>
        <w:pPr>
          <w:ind w:left="48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lvlOverride w:ilvl="2">
      <w:lvl w:ilvl="2" w:tentative="1">
        <w:start w:val="1"/>
        <w:numFmt w:val="bullet"/>
        <w:lvlText w:val="•"/>
        <w:lvlJc w:val="left"/>
        <w:pPr>
          <w:ind w:left="70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lvlOverride w:ilvl="3">
      <w:lvl w:ilvl="3" w:tentative="1">
        <w:start w:val="1"/>
        <w:numFmt w:val="bullet"/>
        <w:lvlText w:val="•"/>
        <w:lvlJc w:val="left"/>
        <w:pPr>
          <w:ind w:left="92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lvlOverride w:ilvl="4">
      <w:lvl w:ilvl="4" w:tentative="1">
        <w:start w:val="1"/>
        <w:numFmt w:val="bullet"/>
        <w:lvlText w:val="•"/>
        <w:lvlJc w:val="left"/>
        <w:pPr>
          <w:ind w:left="114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lvlOverride w:ilvl="5">
      <w:lvl w:ilvl="5" w:tentative="1">
        <w:start w:val="1"/>
        <w:numFmt w:val="bullet"/>
        <w:lvlText w:val="•"/>
        <w:lvlJc w:val="left"/>
        <w:pPr>
          <w:ind w:left="136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lvlOverride w:ilvl="6">
      <w:lvl w:ilvl="6" w:tentative="1">
        <w:start w:val="1"/>
        <w:numFmt w:val="bullet"/>
        <w:lvlText w:val="•"/>
        <w:lvlJc w:val="left"/>
        <w:pPr>
          <w:ind w:left="158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lvlOverride w:ilvl="7">
      <w:lvl w:ilvl="7" w:tentative="1">
        <w:start w:val="1"/>
        <w:numFmt w:val="bullet"/>
        <w:lvlText w:val="•"/>
        <w:lvlJc w:val="left"/>
        <w:pPr>
          <w:ind w:left="180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lvlOverride w:ilvl="8">
      <w:lvl w:ilvl="8" w:tentative="1">
        <w:start w:val="1"/>
        <w:numFmt w:val="bullet"/>
        <w:lvlText w:val="•"/>
        <w:lvlJc w:val="left"/>
        <w:pPr>
          <w:ind w:left="2024" w:hanging="264"/>
        </w:pPr>
        <w:rPr>
          <w:rFonts w:hAnsi="Arial Unicode MS"/>
          <w:caps w:val="0"/>
          <w:smallCaps w:val="0"/>
          <w:strike w:val="0"/>
          <w:dstrike w:val="0"/>
          <w:outline w:val="0"/>
          <w:emboss w:val="0"/>
          <w:imprint w:val="0"/>
          <w:color w:val="7F8685"/>
          <w:spacing w:val="0"/>
          <w:w w:val="100"/>
          <w:kern w:val="0"/>
          <w:position w:val="0"/>
          <w:highlight w:val="none"/>
          <w:vertAlign w:val="baseline"/>
        </w:rPr>
      </w:lvl>
    </w:lvlOverride>
  </w:num>
  <w:num w:numId="78">
    <w:abstractNumId w:val="35"/>
    <w:lvlOverride w:ilvl="0">
      <w:lvl w:ilvl="0" w:tentative="1">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decimal"/>
        <w:lvlText w:val="%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decimal"/>
        <w:lvlText w:val="%3."/>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decimal"/>
        <w:lvlText w:val="%5."/>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decimal"/>
        <w:lvlText w:val="%6."/>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decimal"/>
        <w:lvlText w:val="%8."/>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decimal"/>
        <w:lvlText w:val="%9."/>
        <w:lvlJc w:val="left"/>
        <w:pPr>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9">
    <w:abstractNumId w:val="35"/>
    <w:lvlOverride w:ilvl="0">
      <w:startOverride w:val="1"/>
      <w:lvl w:ilvl="0" w:tentative="1">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abstractNumId w:val="35"/>
    <w:lvlOverride w:ilvl="0">
      <w:startOverride w:val="1"/>
      <w:lvl w:ilvl="0" w:tentative="1">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entative="1">
        <w:start w:val="1"/>
        <w:numFmt w:val="decimal"/>
        <w:lvlText w:val="%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decimal"/>
        <w:lvlText w:val="%3."/>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1">
    <w:abstractNumId w:val="72"/>
  </w:num>
  <w:num w:numId="82">
    <w:abstractNumId w:val="68"/>
  </w:num>
  <w:num w:numId="83">
    <w:abstractNumId w:val="67"/>
  </w:num>
  <w:num w:numId="84">
    <w:abstractNumId w:val="63"/>
  </w:num>
  <w:num w:numId="85">
    <w:abstractNumId w:val="13"/>
  </w:num>
  <w:num w:numId="86">
    <w:abstractNumId w:val="84"/>
  </w:num>
  <w:num w:numId="87">
    <w:abstractNumId w:val="57"/>
  </w:num>
  <w:num w:numId="88">
    <w:abstractNumId w:val="73"/>
  </w:num>
  <w:num w:numId="89">
    <w:abstractNumId w:val="74"/>
  </w:num>
  <w:num w:numId="90">
    <w:abstractNumId w:val="4"/>
  </w:num>
  <w:num w:numId="91">
    <w:abstractNumId w:val="65"/>
  </w:num>
  <w:num w:numId="92">
    <w:abstractNumId w:val="12"/>
  </w:num>
  <w:num w:numId="93">
    <w:abstractNumId w:val="70"/>
  </w:num>
  <w:num w:numId="94">
    <w:abstractNumId w:val="93"/>
  </w:num>
  <w:num w:numId="95">
    <w:abstractNumId w:val="82"/>
  </w:num>
  <w:num w:numId="96">
    <w:abstractNumId w:val="26"/>
  </w:num>
  <w:num w:numId="97">
    <w:abstractNumId w:val="8"/>
  </w:num>
  <w:num w:numId="98">
    <w:abstractNumId w:val="47"/>
  </w:num>
  <w:num w:numId="99">
    <w:abstractNumId w:val="20"/>
  </w:num>
  <w:num w:numId="100">
    <w:abstractNumId w:val="15"/>
  </w:num>
  <w:num w:numId="101">
    <w:abstractNumId w:val="14"/>
  </w:num>
  <w:num w:numId="102">
    <w:abstractNumId w:val="21"/>
  </w:num>
  <w:num w:numId="103">
    <w:abstractNumId w:val="9"/>
  </w:num>
  <w:num w:numId="104">
    <w:abstractNumId w:val="46"/>
  </w:num>
  <w:num w:numId="105">
    <w:abstractNumId w:val="90"/>
  </w:num>
  <w:num w:numId="106">
    <w:abstractNumId w:val="36"/>
  </w:num>
  <w:num w:numId="107">
    <w:abstractNumId w:val="25"/>
  </w:num>
  <w:num w:numId="108">
    <w:abstractNumId w:val="30"/>
  </w:num>
  <w:num w:numId="109">
    <w:abstractNumId w:val="79"/>
  </w:num>
  <w:num w:numId="110">
    <w:abstractNumId w:val="51"/>
  </w:num>
  <w:num w:numId="111">
    <w:abstractNumId w:val="81"/>
  </w:num>
  <w:num w:numId="112">
    <w:abstractNumId w:val="34"/>
  </w:num>
  <w:num w:numId="113">
    <w:abstractNumId w:val="32"/>
  </w:num>
  <w:num w:numId="114">
    <w:abstractNumId w:val="99"/>
  </w:num>
  <w:num w:numId="115">
    <w:abstractNumId w:val="88"/>
  </w:num>
  <w:num w:numId="116">
    <w:abstractNumId w:val="22"/>
  </w:num>
  <w:num w:numId="117">
    <w:abstractNumId w:val="61"/>
  </w:num>
  <w:num w:numId="118">
    <w:abstractNumId w:val="98"/>
  </w:num>
  <w:num w:numId="119">
    <w:abstractNumId w:val="80"/>
  </w:num>
  <w:num w:numId="120">
    <w:abstractNumId w:val="39"/>
  </w:num>
  <w:num w:numId="121">
    <w:abstractNumId w:val="94"/>
  </w:num>
  <w:num w:numId="122">
    <w:abstractNumId w:val="89"/>
  </w:num>
  <w:num w:numId="123">
    <w:abstractNumId w:val="1"/>
  </w:num>
  <w:num w:numId="124">
    <w:abstractNumId w:val="37"/>
  </w:num>
  <w:num w:numId="125">
    <w:abstractNumId w:val="86"/>
  </w:num>
  <w:num w:numId="126">
    <w:abstractNumId w:val="19"/>
  </w:num>
  <w:num w:numId="127">
    <w:abstractNumId w:val="6"/>
  </w:num>
  <w:num w:numId="128">
    <w:abstractNumId w:val="45"/>
  </w:num>
  <w:num w:numId="129">
    <w:abstractNumId w:val="92"/>
  </w:num>
  <w:num w:numId="130">
    <w:abstractNumId w:val="41"/>
  </w:num>
  <w:num w:numId="131">
    <w:abstractNumId w:val="85"/>
  </w:num>
  <w:num w:numId="132">
    <w:abstractNumId w:val="48"/>
  </w:num>
  <w:num w:numId="133">
    <w:abstractNumId w:val="83"/>
  </w:num>
  <w:num w:numId="134">
    <w:abstractNumId w:val="17"/>
  </w:num>
  <w:num w:numId="135">
    <w:abstractNumId w:val="64"/>
  </w:num>
  <w:num w:numId="136">
    <w:abstractNumId w:val="55"/>
  </w:num>
  <w:num w:numId="137">
    <w:abstractNumId w:val="16"/>
  </w:num>
  <w:num w:numId="138">
    <w:abstractNumId w:val="76"/>
  </w:num>
  <w:num w:numId="139">
    <w:abstractNumId w:val="27"/>
  </w:num>
  <w:num w:numId="140">
    <w:abstractNumId w:val="3"/>
  </w:num>
  <w:num w:numId="141">
    <w:abstractNumId w:val="5"/>
  </w:num>
  <w:num w:numId="142">
    <w:abstractNumId w:val="56"/>
  </w:num>
  <w:num w:numId="143">
    <w:abstractNumId w:val="60"/>
  </w:num>
  <w:num w:numId="144">
    <w:abstractNumId w:val="97"/>
  </w:num>
  <w:num w:numId="145">
    <w:abstractNumId w:val="62"/>
  </w:num>
  <w:num w:numId="146">
    <w:abstractNumId w:val="78"/>
  </w:num>
  <w:num w:numId="147">
    <w:abstractNumId w:val="50"/>
  </w:num>
  <w:num w:numId="148">
    <w:abstractNumId w:val="38"/>
  </w:num>
  <w:num w:numId="1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15A"/>
    <w:rsid w:val="00006CD0"/>
    <w:rsid w:val="0001179C"/>
    <w:rsid w:val="0001242F"/>
    <w:rsid w:val="000310B5"/>
    <w:rsid w:val="0003266D"/>
    <w:rsid w:val="000502AF"/>
    <w:rsid w:val="00057CAA"/>
    <w:rsid w:val="000D62C9"/>
    <w:rsid w:val="000E3421"/>
    <w:rsid w:val="000F4E99"/>
    <w:rsid w:val="001114E0"/>
    <w:rsid w:val="001B0BEC"/>
    <w:rsid w:val="00244642"/>
    <w:rsid w:val="00257E23"/>
    <w:rsid w:val="0028200D"/>
    <w:rsid w:val="00290D49"/>
    <w:rsid w:val="002C1E44"/>
    <w:rsid w:val="002E497C"/>
    <w:rsid w:val="00372C6D"/>
    <w:rsid w:val="003F60B3"/>
    <w:rsid w:val="00433872"/>
    <w:rsid w:val="00434AB1"/>
    <w:rsid w:val="00472CA7"/>
    <w:rsid w:val="00473BA5"/>
    <w:rsid w:val="005044A6"/>
    <w:rsid w:val="005436B0"/>
    <w:rsid w:val="00553185"/>
    <w:rsid w:val="00586D3A"/>
    <w:rsid w:val="00590178"/>
    <w:rsid w:val="005934A5"/>
    <w:rsid w:val="005A1C13"/>
    <w:rsid w:val="005E3D4D"/>
    <w:rsid w:val="005E5668"/>
    <w:rsid w:val="005E7EB8"/>
    <w:rsid w:val="005F1069"/>
    <w:rsid w:val="00637E2E"/>
    <w:rsid w:val="00681F6F"/>
    <w:rsid w:val="006B653D"/>
    <w:rsid w:val="006C6156"/>
    <w:rsid w:val="006F1B64"/>
    <w:rsid w:val="00710A1F"/>
    <w:rsid w:val="00733EAF"/>
    <w:rsid w:val="007624D1"/>
    <w:rsid w:val="0082347B"/>
    <w:rsid w:val="008275FE"/>
    <w:rsid w:val="00830568"/>
    <w:rsid w:val="00851F3F"/>
    <w:rsid w:val="008A01EB"/>
    <w:rsid w:val="008B79D9"/>
    <w:rsid w:val="008F563B"/>
    <w:rsid w:val="009B50E1"/>
    <w:rsid w:val="009F2BC0"/>
    <w:rsid w:val="00A136B6"/>
    <w:rsid w:val="00A16ECF"/>
    <w:rsid w:val="00AC4A7D"/>
    <w:rsid w:val="00B01A3B"/>
    <w:rsid w:val="00B11E41"/>
    <w:rsid w:val="00B945FB"/>
    <w:rsid w:val="00C154BE"/>
    <w:rsid w:val="00C1630D"/>
    <w:rsid w:val="00C43E9D"/>
    <w:rsid w:val="00C81F55"/>
    <w:rsid w:val="00C93F11"/>
    <w:rsid w:val="00CC6C03"/>
    <w:rsid w:val="00D0415A"/>
    <w:rsid w:val="00D242F7"/>
    <w:rsid w:val="00D555B3"/>
    <w:rsid w:val="00DB76B0"/>
    <w:rsid w:val="00EF1E30"/>
    <w:rsid w:val="00F30A26"/>
    <w:rsid w:val="323850F0"/>
    <w:rsid w:val="3C6E550E"/>
    <w:rsid w:val="3D1063B2"/>
    <w:rsid w:val="44861D69"/>
    <w:rsid w:val="474A4187"/>
    <w:rsid w:val="48F350D1"/>
    <w:rsid w:val="4D9A2CE0"/>
    <w:rsid w:val="528C3A7D"/>
    <w:rsid w:val="53F40C99"/>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Arial Unicode MS"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Arial Unicode MS" w:cs="Times New Roman"/>
      <w:sz w:val="24"/>
      <w:szCs w:val="24"/>
      <w:lang w:val="en-US" w:eastAsia="en-US" w:bidi="ar-SA"/>
    </w:rPr>
  </w:style>
  <w:style w:type="paragraph" w:styleId="2">
    <w:name w:val="heading 2"/>
    <w:next w:val="3"/>
    <w:unhideWhenUsed/>
    <w:qFormat/>
    <w:uiPriority w:val="9"/>
    <w:pPr>
      <w:spacing w:before="200" w:after="140"/>
      <w:outlineLvl w:val="1"/>
    </w:pPr>
    <w:rPr>
      <w:rFonts w:ascii="Helvetica Neue" w:hAnsi="Helvetica Neue" w:eastAsia="Helvetica Neue" w:cs="Helvetica Neue"/>
      <w:b/>
      <w:bCs/>
      <w:color w:val="367DA2"/>
      <w:sz w:val="22"/>
      <w:szCs w:val="22"/>
      <w:lang w:val="zh-CN" w:eastAsia="en-GB" w:bidi="ar-SA"/>
    </w:rPr>
  </w:style>
  <w:style w:type="paragraph" w:styleId="4">
    <w:name w:val="heading 3"/>
    <w:next w:val="3"/>
    <w:unhideWhenUsed/>
    <w:qFormat/>
    <w:uiPriority w:val="9"/>
    <w:pPr>
      <w:spacing w:before="200" w:after="140"/>
      <w:outlineLvl w:val="2"/>
    </w:pPr>
    <w:rPr>
      <w:rFonts w:ascii="Helvetica Neue" w:hAnsi="Helvetica Neue" w:eastAsia="Helvetica Neue" w:cs="Helvetica Neue"/>
      <w:color w:val="000000"/>
      <w:sz w:val="22"/>
      <w:szCs w:val="22"/>
      <w:lang w:val="zh-CN" w:eastAsia="en-GB" w:bidi="ar-SA"/>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customStyle="1" w:styleId="3">
    <w:name w:val="Body 2"/>
    <w:qFormat/>
    <w:uiPriority w:val="0"/>
    <w:pPr>
      <w:suppressAutoHyphens/>
      <w:spacing w:after="180" w:line="288" w:lineRule="auto"/>
    </w:pPr>
    <w:rPr>
      <w:rFonts w:ascii="Helvetica Neue Light" w:hAnsi="Helvetica Neue Light" w:eastAsia="Helvetica Neue Light" w:cs="Helvetica Neue Light"/>
      <w:color w:val="000000"/>
      <w:lang w:val="zh-CN" w:eastAsia="en-GB" w:bidi="ar-SA"/>
    </w:rPr>
  </w:style>
  <w:style w:type="paragraph" w:styleId="7">
    <w:name w:val="Balloon Text"/>
    <w:basedOn w:val="1"/>
    <w:link w:val="28"/>
    <w:semiHidden/>
    <w:unhideWhenUsed/>
    <w:qFormat/>
    <w:uiPriority w:val="99"/>
    <w:rPr>
      <w:rFonts w:ascii="Segoe UI" w:hAnsi="Segoe UI" w:cs="Segoe UI"/>
      <w:sz w:val="18"/>
      <w:szCs w:val="18"/>
    </w:rPr>
  </w:style>
  <w:style w:type="character" w:styleId="8">
    <w:name w:val="annotation reference"/>
    <w:basedOn w:val="5"/>
    <w:semiHidden/>
    <w:unhideWhenUsed/>
    <w:qFormat/>
    <w:uiPriority w:val="99"/>
    <w:rPr>
      <w:sz w:val="16"/>
      <w:szCs w:val="16"/>
    </w:rPr>
  </w:style>
  <w:style w:type="paragraph" w:styleId="9">
    <w:name w:val="annotation text"/>
    <w:basedOn w:val="1"/>
    <w:link w:val="29"/>
    <w:semiHidden/>
    <w:unhideWhenUsed/>
    <w:qFormat/>
    <w:uiPriority w:val="99"/>
    <w:rPr>
      <w:sz w:val="20"/>
      <w:szCs w:val="20"/>
    </w:rPr>
  </w:style>
  <w:style w:type="paragraph" w:styleId="10">
    <w:name w:val="annotation subject"/>
    <w:basedOn w:val="9"/>
    <w:next w:val="9"/>
    <w:link w:val="30"/>
    <w:semiHidden/>
    <w:unhideWhenUsed/>
    <w:qFormat/>
    <w:uiPriority w:val="99"/>
    <w:rPr>
      <w:b/>
      <w:bCs/>
    </w:rPr>
  </w:style>
  <w:style w:type="paragraph" w:styleId="11">
    <w:name w:val="footer"/>
    <w:basedOn w:val="1"/>
    <w:link w:val="32"/>
    <w:unhideWhenUsed/>
    <w:qFormat/>
    <w:uiPriority w:val="99"/>
    <w:pPr>
      <w:tabs>
        <w:tab w:val="center" w:pos="4513"/>
        <w:tab w:val="right" w:pos="9026"/>
      </w:tabs>
    </w:pPr>
  </w:style>
  <w:style w:type="character" w:styleId="12">
    <w:name w:val="Hyperlink"/>
    <w:qFormat/>
    <w:uiPriority w:val="0"/>
    <w:rPr>
      <w:u w:val="single"/>
    </w:rPr>
  </w:style>
  <w:style w:type="character" w:styleId="13">
    <w:name w:val="page number"/>
    <w:basedOn w:val="5"/>
    <w:semiHidden/>
    <w:unhideWhenUsed/>
    <w:qFormat/>
    <w:uiPriority w:val="99"/>
  </w:style>
  <w:style w:type="paragraph" w:styleId="14">
    <w:name w:val="Title"/>
    <w:next w:val="3"/>
    <w:qFormat/>
    <w:uiPriority w:val="10"/>
    <w:pPr>
      <w:keepNext/>
      <w:spacing w:line="288" w:lineRule="auto"/>
    </w:pPr>
    <w:rPr>
      <w:rFonts w:ascii="Helvetica Neue UltraLight" w:hAnsi="Helvetica Neue UltraLight" w:eastAsia="Helvetica Neue UltraLight" w:cs="Helvetica Neue UltraLight"/>
      <w:color w:val="000000"/>
      <w:spacing w:val="16"/>
      <w:sz w:val="56"/>
      <w:szCs w:val="56"/>
      <w:lang w:val="zh-CN" w:eastAsia="en-GB" w:bidi="ar-SA"/>
    </w:rPr>
  </w:style>
  <w:style w:type="paragraph" w:styleId="15">
    <w:name w:val="toc 1"/>
    <w:basedOn w:val="16"/>
    <w:next w:val="16"/>
    <w:uiPriority w:val="0"/>
    <w:pPr>
      <w:tabs>
        <w:tab w:val="right" w:pos="9500"/>
      </w:tabs>
    </w:pPr>
    <w:rPr>
      <w:sz w:val="24"/>
      <w:szCs w:val="24"/>
    </w:rPr>
  </w:style>
  <w:style w:type="paragraph" w:customStyle="1" w:styleId="16">
    <w:name w:val="TOC 1 parent"/>
    <w:qFormat/>
    <w:uiPriority w:val="0"/>
    <w:pPr>
      <w:tabs>
        <w:tab w:val="right" w:pos="9500"/>
      </w:tabs>
      <w:spacing w:after="120"/>
    </w:pPr>
    <w:rPr>
      <w:rFonts w:ascii="Helvetica Neue Light" w:hAnsi="Helvetica Neue Light" w:eastAsia="Helvetica Neue Light" w:cs="Helvetica Neue Light"/>
      <w:caps/>
      <w:color w:val="000000"/>
      <w:spacing w:val="7"/>
      <w:sz w:val="36"/>
      <w:szCs w:val="36"/>
      <w:lang w:val="zh-CN" w:eastAsia="en-GB" w:bidi="ar-SA"/>
    </w:rPr>
  </w:style>
  <w:style w:type="paragraph" w:styleId="17">
    <w:name w:val="toc 2"/>
    <w:basedOn w:val="18"/>
    <w:next w:val="18"/>
    <w:qFormat/>
    <w:uiPriority w:val="0"/>
    <w:pPr>
      <w:tabs>
        <w:tab w:val="right" w:pos="9500"/>
      </w:tabs>
    </w:pPr>
    <w:rPr>
      <w:sz w:val="22"/>
      <w:szCs w:val="22"/>
    </w:rPr>
  </w:style>
  <w:style w:type="paragraph" w:customStyle="1" w:styleId="18">
    <w:name w:val="TOC 2 parent"/>
    <w:qFormat/>
    <w:uiPriority w:val="0"/>
    <w:pPr>
      <w:tabs>
        <w:tab w:val="right" w:pos="9500"/>
      </w:tabs>
      <w:spacing w:after="120"/>
    </w:pPr>
    <w:rPr>
      <w:rFonts w:ascii="Helvetica Neue Medium" w:hAnsi="Helvetica Neue Medium" w:eastAsia="Helvetica Neue Medium" w:cs="Helvetica Neue Medium"/>
      <w:color w:val="000000"/>
      <w:spacing w:val="5"/>
      <w:sz w:val="30"/>
      <w:szCs w:val="30"/>
      <w:lang w:val="zh-CN" w:eastAsia="en-GB" w:bidi="ar-SA"/>
    </w:rPr>
  </w:style>
  <w:style w:type="paragraph" w:styleId="19">
    <w:name w:val="toc 3"/>
    <w:basedOn w:val="20"/>
    <w:next w:val="20"/>
    <w:qFormat/>
    <w:uiPriority w:val="0"/>
    <w:pPr>
      <w:tabs>
        <w:tab w:val="right" w:pos="9500"/>
      </w:tabs>
    </w:pPr>
    <w:rPr>
      <w:sz w:val="20"/>
      <w:szCs w:val="20"/>
    </w:rPr>
  </w:style>
  <w:style w:type="paragraph" w:customStyle="1" w:styleId="20">
    <w:name w:val="TOC 3 parent"/>
    <w:uiPriority w:val="0"/>
    <w:pPr>
      <w:tabs>
        <w:tab w:val="right" w:pos="9500"/>
      </w:tabs>
      <w:spacing w:after="120"/>
    </w:pPr>
    <w:rPr>
      <w:rFonts w:ascii="Helvetica Neue Light" w:hAnsi="Helvetica Neue Light" w:eastAsia="Helvetica Neue Light" w:cs="Helvetica Neue Light"/>
      <w:caps/>
      <w:color w:val="000000"/>
      <w:spacing w:val="7"/>
      <w:sz w:val="36"/>
      <w:szCs w:val="36"/>
      <w:lang w:val="zh-CN" w:eastAsia="en-GB" w:bidi="ar-SA"/>
    </w:rPr>
  </w:style>
  <w:style w:type="paragraph" w:customStyle="1" w:styleId="21">
    <w:name w:val="Header &amp; Footer"/>
    <w:qFormat/>
    <w:uiPriority w:val="0"/>
    <w:pPr>
      <w:tabs>
        <w:tab w:val="right" w:pos="9020"/>
      </w:tabs>
      <w:spacing w:line="288" w:lineRule="auto"/>
    </w:pPr>
    <w:rPr>
      <w:rFonts w:ascii="Helvetica Neue Medium" w:hAnsi="Helvetica Neue Medium" w:eastAsia="Arial Unicode MS" w:cs="Arial Unicode MS"/>
      <w:color w:val="606060"/>
      <w:lang w:val="en-US" w:eastAsia="en-GB" w:bidi="ar-SA"/>
    </w:rPr>
  </w:style>
  <w:style w:type="paragraph" w:customStyle="1" w:styleId="22">
    <w:name w:val="Subheading"/>
    <w:qFormat/>
    <w:uiPriority w:val="0"/>
    <w:pPr>
      <w:pBdr>
        <w:top w:val="single" w:color="357CA2" w:sz="24" w:space="1"/>
      </w:pBdr>
      <w:spacing w:line="288" w:lineRule="auto"/>
      <w:outlineLvl w:val="0"/>
    </w:pPr>
    <w:rPr>
      <w:rFonts w:ascii="Helvetica Neue" w:hAnsi="Helvetica Neue" w:eastAsia="Helvetica Neue" w:cs="Helvetica Neue"/>
      <w:b/>
      <w:bCs/>
      <w:caps/>
      <w:color w:val="367DA2"/>
      <w:spacing w:val="4"/>
      <w:sz w:val="22"/>
      <w:szCs w:val="22"/>
      <w:lang w:val="zh-CN" w:eastAsia="en-GB" w:bidi="ar-SA"/>
    </w:rPr>
  </w:style>
  <w:style w:type="paragraph" w:customStyle="1" w:styleId="23">
    <w:name w:val="Body"/>
    <w:qFormat/>
    <w:uiPriority w:val="0"/>
    <w:pPr>
      <w:spacing w:line="312" w:lineRule="auto"/>
    </w:pPr>
    <w:rPr>
      <w:rFonts w:ascii="Helvetica Neue Light" w:hAnsi="Helvetica Neue Light" w:eastAsia="Helvetica Neue Light" w:cs="Helvetica Neue Light"/>
      <w:color w:val="000000"/>
      <w:lang w:val="zh-CN" w:eastAsia="en-GB" w:bidi="ar-SA"/>
    </w:rPr>
  </w:style>
  <w:style w:type="paragraph" w:customStyle="1" w:styleId="24">
    <w:name w:val="Heading"/>
    <w:next w:val="3"/>
    <w:qFormat/>
    <w:uiPriority w:val="0"/>
    <w:pPr>
      <w:outlineLvl w:val="0"/>
    </w:pPr>
    <w:rPr>
      <w:rFonts w:ascii="Helvetica Neue Light" w:hAnsi="Helvetica Neue Light" w:eastAsia="Helvetica Neue Light" w:cs="Helvetica Neue Light"/>
      <w:caps/>
      <w:color w:val="444444"/>
      <w:spacing w:val="7"/>
      <w:sz w:val="36"/>
      <w:szCs w:val="36"/>
      <w:lang w:val="zh-CN" w:eastAsia="en-GB" w:bidi="ar-SA"/>
    </w:rPr>
  </w:style>
  <w:style w:type="paragraph" w:customStyle="1" w:styleId="25">
    <w:name w:val="Default"/>
    <w:qFormat/>
    <w:uiPriority w:val="0"/>
    <w:pPr>
      <w:suppressAutoHyphens/>
      <w:spacing w:after="180" w:line="288" w:lineRule="auto"/>
    </w:pPr>
    <w:rPr>
      <w:rFonts w:ascii="Helvetica Neue Light" w:hAnsi="Helvetica Neue Light" w:eastAsia="Helvetica Neue Light" w:cs="Helvetica Neue Light"/>
      <w:color w:val="000000"/>
      <w:lang w:val="zh-CN" w:eastAsia="en-GB" w:bidi="ar-SA"/>
    </w:rPr>
  </w:style>
  <w:style w:type="paragraph" w:customStyle="1" w:styleId="26">
    <w:name w:val="Table Style 2"/>
    <w:qFormat/>
    <w:uiPriority w:val="0"/>
    <w:pPr>
      <w:tabs>
        <w:tab w:val="right" w:pos="1267"/>
        <w:tab w:val="right" w:pos="1333"/>
      </w:tabs>
    </w:pPr>
    <w:rPr>
      <w:rFonts w:ascii="Helvetica Neue Light" w:hAnsi="Helvetica Neue Light" w:eastAsia="Helvetica Neue Light" w:cs="Helvetica Neue Light"/>
      <w:color w:val="000000"/>
      <w:lang w:val="zh-CN" w:eastAsia="en-GB" w:bidi="ar-SA"/>
    </w:rPr>
  </w:style>
  <w:style w:type="paragraph" w:customStyle="1" w:styleId="27">
    <w:name w:val="Label"/>
    <w:qFormat/>
    <w:uiPriority w:val="0"/>
    <w:pPr>
      <w:spacing w:before="80" w:after="180" w:line="288" w:lineRule="auto"/>
      <w:jc w:val="center"/>
    </w:pPr>
    <w:rPr>
      <w:rFonts w:ascii="Helvetica Neue" w:hAnsi="Helvetica Neue" w:eastAsia="Helvetica Neue" w:cs="Helvetica Neue"/>
      <w:color w:val="FFFFFF"/>
      <w:sz w:val="24"/>
      <w:szCs w:val="24"/>
      <w:lang w:val="zh-CN" w:eastAsia="en-GB" w:bidi="ar-SA"/>
    </w:rPr>
  </w:style>
  <w:style w:type="character" w:customStyle="1" w:styleId="28">
    <w:name w:val="Balloon Text Char"/>
    <w:basedOn w:val="5"/>
    <w:link w:val="7"/>
    <w:semiHidden/>
    <w:qFormat/>
    <w:uiPriority w:val="99"/>
    <w:rPr>
      <w:rFonts w:ascii="Segoe UI" w:hAnsi="Segoe UI" w:cs="Segoe UI"/>
      <w:sz w:val="18"/>
      <w:szCs w:val="18"/>
    </w:rPr>
  </w:style>
  <w:style w:type="character" w:customStyle="1" w:styleId="29">
    <w:name w:val="Comment Text Char"/>
    <w:basedOn w:val="5"/>
    <w:link w:val="9"/>
    <w:semiHidden/>
    <w:qFormat/>
    <w:uiPriority w:val="99"/>
  </w:style>
  <w:style w:type="character" w:customStyle="1" w:styleId="30">
    <w:name w:val="Comment Subject Char"/>
    <w:basedOn w:val="29"/>
    <w:link w:val="10"/>
    <w:semiHidden/>
    <w:qFormat/>
    <w:uiPriority w:val="99"/>
    <w:rPr>
      <w:b/>
      <w:bCs/>
    </w:rPr>
  </w:style>
  <w:style w:type="paragraph" w:customStyle="1" w:styleId="31">
    <w:name w:val="Revision1"/>
    <w:hidden/>
    <w:semiHidden/>
    <w:qFormat/>
    <w:uiPriority w:val="99"/>
    <w:rPr>
      <w:rFonts w:ascii="Times New Roman" w:hAnsi="Times New Roman" w:eastAsia="Arial Unicode MS" w:cs="Times New Roman"/>
      <w:sz w:val="24"/>
      <w:szCs w:val="24"/>
      <w:lang w:val="en-US" w:eastAsia="en-US" w:bidi="ar-SA"/>
    </w:rPr>
  </w:style>
  <w:style w:type="character" w:customStyle="1" w:styleId="32">
    <w:name w:val="Footer Char"/>
    <w:basedOn w:val="5"/>
    <w:link w:val="11"/>
    <w:qFormat/>
    <w:uiPriority w:val="99"/>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tiff"/><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02_Modern_Business_Project_Proposal">
  <a:themeElements>
    <a:clrScheme name="02_Modern_Business_Project_Proposal">
      <a:dk1>
        <a:srgbClr val="000000"/>
      </a:dk1>
      <a:lt1>
        <a:srgbClr val="FFFFFF"/>
      </a:lt1>
      <a:dk2>
        <a:srgbClr val="535F65"/>
      </a:dk2>
      <a:lt2>
        <a:srgbClr val="F4F2EF"/>
      </a:lt2>
      <a:accent1>
        <a:srgbClr val="85B9C9"/>
      </a:accent1>
      <a:accent2>
        <a:srgbClr val="93B06D"/>
      </a:accent2>
      <a:accent3>
        <a:srgbClr val="FED227"/>
      </a:accent3>
      <a:accent4>
        <a:srgbClr val="F3A14D"/>
      </a:accent4>
      <a:accent5>
        <a:srgbClr val="E67869"/>
      </a:accent5>
      <a:accent6>
        <a:srgbClr val="899FD7"/>
      </a:accent6>
      <a:hlink>
        <a:srgbClr val="0000FF"/>
      </a:hlink>
      <a:folHlink>
        <a:srgbClr val="FF00FF"/>
      </a:folHlink>
    </a:clrScheme>
    <a:fontScheme name="02_Modern_Business_Project_Proposal">
      <a:majorFont>
        <a:latin typeface="Helvetica Neue UltraLight"/>
        <a:ea typeface="Helvetica Neue UltraLight"/>
        <a:cs typeface="Helvetica Neue UltraLight"/>
      </a:majorFont>
      <a:minorFont>
        <a:latin typeface="Helvetica Neue UltraLight"/>
        <a:ea typeface="Helvetica Neue UltraLight"/>
        <a:cs typeface="Helvetica Neue UltraLight"/>
      </a:minorFont>
    </a:fontScheme>
    <a:fmtScheme name="02_Modern_Business_Project_Proposa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hueOff val="366345"/>
            <a:satOff val="11385"/>
            <a:lumOff val="-23236"/>
          </a:schemeClr>
        </a:solidFill>
        <a:ln w="12700" cap="flat">
          <a:noFill/>
          <a:miter lim="400000"/>
        </a:ln>
      </a:spPr>
      <a:bodyPr rot="0" spcFirstLastPara="1" vertOverflow="overflow" horzOverflow="overflow" vert="horz" wrap="square" lIns="50800" tIns="50800" rIns="50800" bIns="50800" numCol="1" spcCol="38100" rtlCol="0" anchor="ctr">
        <a:spAutoFit/>
      </a:bodyPr>
      <a:lstStyle/>
      <a:style>
        <a:lnRef idx="0">
          <a:scrgbClr r="0" g="0" b="0"/>
        </a:lnRef>
        <a:fillRef idx="0">
          <a:scrgbClr r="0" g="0" b="0"/>
        </a:fillRef>
        <a:effectRef idx="0">
          <a:scrgbClr r="0" g="0" b="0"/>
        </a:effectRef>
        <a:fontRef idx="none"/>
      </a:style>
    </a:spDef>
    <a:lnDef>
      <a:spPr>
        <a:noFill/>
        <a:ln w="12700" cap="flat">
          <a:solidFill>
            <a:schemeClr val="accent1">
              <a:hueOff val="366345"/>
              <a:satOff val="11385"/>
              <a:lumOff val="-23236"/>
            </a:schemeClr>
          </a:solidFill>
          <a:prstDash val="solid"/>
          <a:miter lim="4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crgbClr r="0" g="0" b="0"/>
        </a:lnRef>
        <a:fillRef idx="0">
          <a:scrgbClr r="0" g="0" b="0"/>
        </a:fillRef>
        <a:effectRef idx="0">
          <a:scrgbClr r="0" g="0" b="0"/>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671911-0CA8-434C-8354-E7A4D7A4A727}">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132</Pages>
  <Words>19743</Words>
  <Characters>112540</Characters>
  <Lines>937</Lines>
  <Paragraphs>264</Paragraphs>
  <TotalTime>22</TotalTime>
  <ScaleCrop>false</ScaleCrop>
  <LinksUpToDate>false</LinksUpToDate>
  <CharactersWithSpaces>132019</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2025-12-16T08:28:00Z</dcterms:created>
  <dc:creator>HP</dc:creator>
  <cp:lastModifiedBy>Prof Vincent Onodugo</cp:lastModifiedBy>
  <dcterms:modified xsi:type="dcterms:W3CDTF">2026-02-20T10:40:15Z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337152575DCA48698079B1E6DA895629_13</vt:lpwstr>
  </property>
  <property fmtid="{D5CDD505-2E9C-101B-9397-08002B2CF9AE}" pid="4" name="GrammarlyDocumentId">
    <vt:lpwstr>0cd92e6b-6a33-4318-ade5-e7cb96380fef</vt:lpwstr>
  </property>
</Properties>
</file>